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bookmarkStart w:id="0" w:name="_GoBack"/>
      <w:bookmarkEnd w:id="0"/>
    </w:p>
    <w:tbl>
      <w:tblPr>
        <w:tblW w:w="0" w:type="auto"/>
        <w:tblInd w:w="108" w:type="dxa"/>
        <w:tblLayout w:type="fixed"/>
        <w:tblLook w:val="04A0" w:firstRow="1" w:lastRow="0" w:firstColumn="1" w:lastColumn="0" w:noHBand="0" w:noVBand="1"/>
      </w:tblPr>
      <w:tblGrid>
        <w:gridCol w:w="10"/>
        <w:gridCol w:w="2248"/>
        <w:gridCol w:w="180"/>
        <w:gridCol w:w="6385"/>
        <w:gridCol w:w="21"/>
      </w:tblGrid>
      <w:tr w:rsidR="00CE544A" w:rsidRPr="00975B07" w:rsidTr="005F7F7E">
        <w:tc>
          <w:tcPr>
            <w:tcW w:w="2438" w:type="dxa"/>
            <w:gridSpan w:val="3"/>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gridSpan w:val="2"/>
            <w:shd w:val="clear" w:color="auto" w:fill="auto"/>
          </w:tcPr>
          <w:p w:rsidR="002F0E22" w:rsidRPr="00F95BC9" w:rsidRDefault="006A7C4B" w:rsidP="004A6D2F">
            <w:pPr>
              <w:rPr>
                <w:rStyle w:val="Firstpagetablebold"/>
              </w:rPr>
            </w:pPr>
            <w:r>
              <w:rPr>
                <w:rStyle w:val="Firstpagetablebold"/>
              </w:rPr>
              <w:t>Housing and Homelessness Panel</w:t>
            </w:r>
          </w:p>
        </w:tc>
      </w:tr>
      <w:tr w:rsidR="00CE544A" w:rsidRPr="00975B07" w:rsidTr="005F7F7E">
        <w:tc>
          <w:tcPr>
            <w:tcW w:w="2438" w:type="dxa"/>
            <w:gridSpan w:val="3"/>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gridSpan w:val="2"/>
            <w:shd w:val="clear" w:color="auto" w:fill="auto"/>
          </w:tcPr>
          <w:p w:rsidR="002F0E22" w:rsidRPr="001356F1" w:rsidRDefault="006A7C4B" w:rsidP="00C66A11">
            <w:pPr>
              <w:rPr>
                <w:b/>
              </w:rPr>
            </w:pPr>
            <w:r>
              <w:rPr>
                <w:b/>
              </w:rPr>
              <w:t>2</w:t>
            </w:r>
            <w:r w:rsidRPr="006A7C4B">
              <w:rPr>
                <w:b/>
                <w:vertAlign w:val="superscript"/>
              </w:rPr>
              <w:t>nd</w:t>
            </w:r>
            <w:r>
              <w:rPr>
                <w:b/>
              </w:rPr>
              <w:t xml:space="preserve"> September 2021</w:t>
            </w:r>
          </w:p>
        </w:tc>
      </w:tr>
      <w:tr w:rsidR="00CE544A" w:rsidRPr="00975B07" w:rsidTr="005F7F7E">
        <w:tc>
          <w:tcPr>
            <w:tcW w:w="2438" w:type="dxa"/>
            <w:gridSpan w:val="3"/>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gridSpan w:val="2"/>
            <w:shd w:val="clear" w:color="auto" w:fill="auto"/>
          </w:tcPr>
          <w:p w:rsidR="0021127E" w:rsidRPr="001356F1" w:rsidRDefault="00E847A6" w:rsidP="00B60DCA">
            <w:pPr>
              <w:rPr>
                <w:rStyle w:val="Firstpagetablebold"/>
              </w:rPr>
            </w:pPr>
            <w:r>
              <w:rPr>
                <w:rStyle w:val="Firstpagetablebold"/>
              </w:rPr>
              <w:t>Director of Housing</w:t>
            </w:r>
          </w:p>
        </w:tc>
      </w:tr>
      <w:tr w:rsidR="00CE544A" w:rsidRPr="00975B07" w:rsidTr="005F7F7E">
        <w:tc>
          <w:tcPr>
            <w:tcW w:w="2438" w:type="dxa"/>
            <w:gridSpan w:val="3"/>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gridSpan w:val="2"/>
            <w:shd w:val="clear" w:color="auto" w:fill="auto"/>
          </w:tcPr>
          <w:p w:rsidR="00D7709B" w:rsidRDefault="00D7709B" w:rsidP="00D7709B">
            <w:pPr>
              <w:rPr>
                <w:rFonts w:cs="Arial"/>
                <w:b/>
              </w:rPr>
            </w:pPr>
            <w:r w:rsidRPr="007533CE">
              <w:rPr>
                <w:rFonts w:cs="Arial"/>
                <w:b/>
              </w:rPr>
              <w:t xml:space="preserve">Quarter one </w:t>
            </w:r>
            <w:r>
              <w:rPr>
                <w:rFonts w:cs="Arial"/>
                <w:b/>
              </w:rPr>
              <w:t xml:space="preserve">(April – June 2021) </w:t>
            </w:r>
            <w:r w:rsidRPr="007533CE">
              <w:rPr>
                <w:rFonts w:cs="Arial"/>
                <w:b/>
              </w:rPr>
              <w:t xml:space="preserve">update on the performance of Housing Services and </w:t>
            </w:r>
            <w:r>
              <w:rPr>
                <w:rFonts w:cs="Arial"/>
                <w:b/>
              </w:rPr>
              <w:t xml:space="preserve">the </w:t>
            </w:r>
            <w:r w:rsidRPr="007533CE">
              <w:rPr>
                <w:rFonts w:cs="Arial"/>
                <w:b/>
              </w:rPr>
              <w:t>housing related functions of Oxford City Council</w:t>
            </w:r>
          </w:p>
          <w:p w:rsidR="00F445B1" w:rsidRPr="001356F1" w:rsidRDefault="00F445B1" w:rsidP="00B60DCA">
            <w:pPr>
              <w:rPr>
                <w:rStyle w:val="Firstpagetablebold"/>
              </w:rPr>
            </w:pPr>
          </w:p>
        </w:tc>
      </w:tr>
      <w:tr w:rsidR="00D5547E" w:rsidTr="00684EE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0" w:type="dxa"/>
          <w:wAfter w:w="21" w:type="dxa"/>
        </w:trPr>
        <w:tc>
          <w:tcPr>
            <w:tcW w:w="8813"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684EE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0" w:type="dxa"/>
          <w:wAfter w:w="21" w:type="dxa"/>
        </w:trPr>
        <w:tc>
          <w:tcPr>
            <w:tcW w:w="2248" w:type="dxa"/>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565" w:type="dxa"/>
            <w:gridSpan w:val="2"/>
            <w:tcBorders>
              <w:top w:val="single" w:sz="8" w:space="0" w:color="000000"/>
              <w:left w:val="nil"/>
              <w:bottom w:val="nil"/>
              <w:right w:val="single" w:sz="8" w:space="0" w:color="000000"/>
            </w:tcBorders>
            <w:hideMark/>
          </w:tcPr>
          <w:p w:rsidR="00D5547E" w:rsidRPr="001356F1" w:rsidRDefault="00A91B9B" w:rsidP="006A7C4B">
            <w:r>
              <w:t>To</w:t>
            </w:r>
            <w:r w:rsidR="006A7C4B">
              <w:t xml:space="preserve"> update the Housing and Homelessness Panel on quarter 1 performance for the Housing Service </w:t>
            </w:r>
            <w:r>
              <w:t xml:space="preserve"> </w:t>
            </w:r>
          </w:p>
        </w:tc>
      </w:tr>
      <w:tr w:rsidR="00D5547E" w:rsidTr="00684EE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0" w:type="dxa"/>
          <w:wAfter w:w="21" w:type="dxa"/>
        </w:trPr>
        <w:tc>
          <w:tcPr>
            <w:tcW w:w="2248" w:type="dxa"/>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565" w:type="dxa"/>
            <w:gridSpan w:val="2"/>
            <w:tcBorders>
              <w:top w:val="nil"/>
              <w:left w:val="nil"/>
              <w:bottom w:val="nil"/>
              <w:right w:val="single" w:sz="8" w:space="0" w:color="000000"/>
            </w:tcBorders>
            <w:hideMark/>
          </w:tcPr>
          <w:p w:rsidR="00D5547E" w:rsidRPr="001356F1" w:rsidRDefault="00E847A6" w:rsidP="005F7F7E">
            <w:r>
              <w:t>No</w:t>
            </w:r>
          </w:p>
        </w:tc>
      </w:tr>
      <w:tr w:rsidR="00D5547E" w:rsidTr="00684EE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0" w:type="dxa"/>
          <w:wAfter w:w="21" w:type="dxa"/>
        </w:trPr>
        <w:tc>
          <w:tcPr>
            <w:tcW w:w="2248" w:type="dxa"/>
            <w:tcBorders>
              <w:top w:val="nil"/>
              <w:left w:val="single" w:sz="8" w:space="0" w:color="000000"/>
              <w:bottom w:val="nil"/>
              <w:right w:val="nil"/>
            </w:tcBorders>
            <w:hideMark/>
          </w:tcPr>
          <w:p w:rsidR="00D5547E" w:rsidRDefault="0074109C">
            <w:pPr>
              <w:rPr>
                <w:rStyle w:val="Firstpagetablebold"/>
              </w:rPr>
            </w:pPr>
            <w:r>
              <w:rPr>
                <w:rStyle w:val="Firstpagetablebold"/>
              </w:rPr>
              <w:t>Cabinet</w:t>
            </w:r>
            <w:r w:rsidR="00D5547E">
              <w:rPr>
                <w:rStyle w:val="Firstpagetablebold"/>
              </w:rPr>
              <w:t xml:space="preserve"> Member:</w:t>
            </w:r>
          </w:p>
        </w:tc>
        <w:tc>
          <w:tcPr>
            <w:tcW w:w="6565" w:type="dxa"/>
            <w:gridSpan w:val="2"/>
            <w:tcBorders>
              <w:top w:val="nil"/>
              <w:left w:val="nil"/>
              <w:bottom w:val="nil"/>
              <w:right w:val="single" w:sz="8" w:space="0" w:color="000000"/>
            </w:tcBorders>
            <w:hideMark/>
          </w:tcPr>
          <w:p w:rsidR="00D5547E" w:rsidRPr="001356F1" w:rsidRDefault="00D5547E" w:rsidP="001119CD">
            <w:r w:rsidRPr="001356F1">
              <w:t xml:space="preserve">Councillor </w:t>
            </w:r>
            <w:r w:rsidR="006A7C4B">
              <w:t>Diko Blackings</w:t>
            </w:r>
          </w:p>
        </w:tc>
      </w:tr>
      <w:tr w:rsidR="0080749A" w:rsidTr="00684EE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0" w:type="dxa"/>
          <w:wAfter w:w="21" w:type="dxa"/>
        </w:trPr>
        <w:tc>
          <w:tcPr>
            <w:tcW w:w="2248" w:type="dxa"/>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565" w:type="dxa"/>
            <w:gridSpan w:val="2"/>
            <w:tcBorders>
              <w:top w:val="nil"/>
              <w:left w:val="nil"/>
              <w:bottom w:val="nil"/>
              <w:right w:val="single" w:sz="8" w:space="0" w:color="000000"/>
            </w:tcBorders>
          </w:tcPr>
          <w:p w:rsidR="0080749A" w:rsidRPr="001356F1" w:rsidRDefault="00665B05" w:rsidP="00665B05">
            <w:r>
              <w:t xml:space="preserve">Deliver more, affordable homes; </w:t>
            </w:r>
            <w:r w:rsidR="006A7C4B">
              <w:t>Supporting Thriving Communities</w:t>
            </w:r>
          </w:p>
        </w:tc>
      </w:tr>
      <w:tr w:rsidR="00D5547E" w:rsidTr="00684EE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0" w:type="dxa"/>
          <w:wAfter w:w="21" w:type="dxa"/>
        </w:trPr>
        <w:tc>
          <w:tcPr>
            <w:tcW w:w="2248" w:type="dxa"/>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565" w:type="dxa"/>
            <w:gridSpan w:val="2"/>
            <w:tcBorders>
              <w:top w:val="nil"/>
              <w:left w:val="nil"/>
              <w:bottom w:val="nil"/>
              <w:right w:val="single" w:sz="8" w:space="0" w:color="000000"/>
            </w:tcBorders>
            <w:hideMark/>
          </w:tcPr>
          <w:p w:rsidR="00D5547E" w:rsidRPr="001356F1" w:rsidRDefault="00D7709B" w:rsidP="006A7C4B">
            <w:r>
              <w:t>Corporate Plan</w:t>
            </w:r>
          </w:p>
        </w:tc>
      </w:tr>
      <w:tr w:rsidR="005F7F7E" w:rsidRPr="00975B07" w:rsidTr="00684EE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0" w:type="dxa"/>
          <w:wAfter w:w="21" w:type="dxa"/>
          <w:trHeight w:val="413"/>
        </w:trPr>
        <w:tc>
          <w:tcPr>
            <w:tcW w:w="8813" w:type="dxa"/>
            <w:gridSpan w:val="3"/>
            <w:tcBorders>
              <w:bottom w:val="single" w:sz="8" w:space="0" w:color="000000"/>
            </w:tcBorders>
          </w:tcPr>
          <w:p w:rsidR="005F7F7E" w:rsidRPr="00E847A6" w:rsidRDefault="005F7F7E" w:rsidP="00452C2E">
            <w:r>
              <w:rPr>
                <w:rStyle w:val="Firstpagetablebold"/>
              </w:rPr>
              <w:t>Recommendation(s):</w:t>
            </w:r>
            <w:r w:rsidR="007E64F0">
              <w:rPr>
                <w:rStyle w:val="Firstpagetablebold"/>
              </w:rPr>
              <w:t xml:space="preserve"> </w:t>
            </w:r>
            <w:r>
              <w:rPr>
                <w:rStyle w:val="Firstpagetablebold"/>
              </w:rPr>
              <w:t xml:space="preserve">That the </w:t>
            </w:r>
            <w:r w:rsidR="00452C2E">
              <w:rPr>
                <w:rStyle w:val="Firstpagetablebold"/>
              </w:rPr>
              <w:t>Panel</w:t>
            </w:r>
            <w:r w:rsidR="00A85B0E">
              <w:rPr>
                <w:rStyle w:val="Firstpagetablebold"/>
              </w:rPr>
              <w:t xml:space="preserve"> resolves to</w:t>
            </w:r>
            <w:r>
              <w:rPr>
                <w:rStyle w:val="Firstpagetablebold"/>
              </w:rPr>
              <w:t>:</w:t>
            </w:r>
            <w:r w:rsidR="00E847A6">
              <w:rPr>
                <w:rStyle w:val="Firstpagetablebold"/>
              </w:rPr>
              <w:t xml:space="preserve"> </w:t>
            </w:r>
            <w:r w:rsidR="00E847A6">
              <w:rPr>
                <w:rStyle w:val="Firstpagetablebold"/>
                <w:b w:val="0"/>
              </w:rPr>
              <w:t>note the report having agreed any recommendations to Cabinet concerning its contents.</w:t>
            </w:r>
          </w:p>
        </w:tc>
      </w:tr>
    </w:tbl>
    <w:p w:rsidR="00CE544A" w:rsidRPr="00B1310E" w:rsidRDefault="00CE544A" w:rsidP="004A6D2F">
      <w:pPr>
        <w:rPr>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766"/>
      </w:tblGrid>
      <w:tr w:rsidR="00B1310E" w:rsidRPr="00B1310E" w:rsidTr="0021127E">
        <w:tc>
          <w:tcPr>
            <w:tcW w:w="9170"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E3210A" w:rsidRDefault="00966D42" w:rsidP="00263EA3">
            <w:pPr>
              <w:jc w:val="center"/>
              <w:rPr>
                <w:color w:val="auto"/>
              </w:rPr>
            </w:pPr>
            <w:r w:rsidRPr="00E3210A">
              <w:rPr>
                <w:rStyle w:val="Firstpagetablebold"/>
                <w:color w:val="auto"/>
              </w:rPr>
              <w:t>Appendices</w:t>
            </w:r>
          </w:p>
        </w:tc>
      </w:tr>
      <w:tr w:rsidR="0074109C" w:rsidRPr="00B1310E" w:rsidTr="0021127E">
        <w:tc>
          <w:tcPr>
            <w:tcW w:w="2404" w:type="dxa"/>
            <w:tcBorders>
              <w:top w:val="nil"/>
              <w:left w:val="single" w:sz="8" w:space="0" w:color="000000"/>
              <w:bottom w:val="single" w:sz="8" w:space="0" w:color="000000"/>
              <w:right w:val="nil"/>
            </w:tcBorders>
            <w:shd w:val="clear" w:color="auto" w:fill="auto"/>
          </w:tcPr>
          <w:p w:rsidR="007333C3" w:rsidRPr="00E3210A" w:rsidRDefault="006A7C4B" w:rsidP="006A7C4B">
            <w:pPr>
              <w:rPr>
                <w:color w:val="auto"/>
              </w:rPr>
            </w:pPr>
            <w:r>
              <w:rPr>
                <w:color w:val="auto"/>
              </w:rPr>
              <w:t xml:space="preserve">Appendix 1   </w:t>
            </w:r>
          </w:p>
        </w:tc>
        <w:tc>
          <w:tcPr>
            <w:tcW w:w="6766" w:type="dxa"/>
            <w:tcBorders>
              <w:top w:val="nil"/>
              <w:left w:val="nil"/>
              <w:bottom w:val="single" w:sz="8" w:space="0" w:color="000000"/>
              <w:right w:val="single" w:sz="8" w:space="0" w:color="000000"/>
            </w:tcBorders>
          </w:tcPr>
          <w:p w:rsidR="00953A87" w:rsidRPr="00E3210A" w:rsidRDefault="00251FE4" w:rsidP="00251FE4">
            <w:pPr>
              <w:tabs>
                <w:tab w:val="left" w:pos="2160"/>
              </w:tabs>
              <w:rPr>
                <w:color w:val="auto"/>
              </w:rPr>
            </w:pPr>
            <w:r>
              <w:rPr>
                <w:color w:val="auto"/>
              </w:rPr>
              <w:t xml:space="preserve">Corporate and Service KPIs, Housing Services </w:t>
            </w:r>
          </w:p>
        </w:tc>
      </w:tr>
    </w:tbl>
    <w:p w:rsidR="00BD3A56" w:rsidRDefault="00BD3A56" w:rsidP="004A6D2F">
      <w:pPr>
        <w:pStyle w:val="Heading1"/>
        <w:rPr>
          <w:color w:val="FF0000"/>
        </w:rPr>
      </w:pPr>
    </w:p>
    <w:p w:rsidR="00684EE2" w:rsidRDefault="00684EE2" w:rsidP="00684EE2"/>
    <w:p w:rsidR="00684EE2" w:rsidRDefault="00684EE2" w:rsidP="00684EE2"/>
    <w:p w:rsidR="0021127E" w:rsidRDefault="0021127E">
      <w:pPr>
        <w:spacing w:after="0"/>
      </w:pPr>
      <w:r>
        <w:br w:type="page"/>
      </w:r>
    </w:p>
    <w:p w:rsidR="004D3B4C" w:rsidRPr="00E847A6" w:rsidRDefault="0062626A" w:rsidP="00E847A6">
      <w:pPr>
        <w:pStyle w:val="Heading1"/>
        <w:ind w:left="360" w:hanging="360"/>
        <w:rPr>
          <w:color w:val="auto"/>
        </w:rPr>
      </w:pPr>
      <w:r>
        <w:rPr>
          <w:color w:val="auto"/>
        </w:rPr>
        <w:lastRenderedPageBreak/>
        <w:t>I</w:t>
      </w:r>
      <w:r w:rsidR="00F66DCA" w:rsidRPr="00CF57EB">
        <w:rPr>
          <w:color w:val="auto"/>
        </w:rPr>
        <w:t>ntroduction and b</w:t>
      </w:r>
      <w:r w:rsidR="00151888" w:rsidRPr="00CF57EB">
        <w:rPr>
          <w:color w:val="auto"/>
        </w:rPr>
        <w:t>ackground</w:t>
      </w:r>
      <w:r w:rsidR="00404032" w:rsidRPr="00CF57EB">
        <w:rPr>
          <w:color w:val="auto"/>
        </w:rPr>
        <w:t xml:space="preserve"> </w:t>
      </w:r>
    </w:p>
    <w:p w:rsidR="00D7709B" w:rsidRDefault="00896A9E" w:rsidP="00E847A6">
      <w:pPr>
        <w:pStyle w:val="ListParagraph"/>
        <w:numPr>
          <w:ilvl w:val="0"/>
          <w:numId w:val="35"/>
        </w:numPr>
        <w:rPr>
          <w:bCs/>
        </w:rPr>
      </w:pPr>
      <w:r>
        <w:rPr>
          <w:bCs/>
        </w:rPr>
        <w:t>This report provides a</w:t>
      </w:r>
      <w:r w:rsidR="00D7709B">
        <w:rPr>
          <w:bCs/>
        </w:rPr>
        <w:t xml:space="preserve"> </w:t>
      </w:r>
      <w:r>
        <w:rPr>
          <w:bCs/>
        </w:rPr>
        <w:t>performance update for</w:t>
      </w:r>
      <w:r w:rsidR="00D7709B">
        <w:rPr>
          <w:bCs/>
        </w:rPr>
        <w:t xml:space="preserve"> Housing Services and the housing related functions of Oxford City Council. The report includes in depth commentary in relation to significant work areas. </w:t>
      </w:r>
    </w:p>
    <w:p w:rsidR="00D7709B" w:rsidRDefault="00D7709B" w:rsidP="00D7709B">
      <w:pPr>
        <w:pStyle w:val="ListParagraph"/>
        <w:numPr>
          <w:ilvl w:val="0"/>
          <w:numId w:val="35"/>
        </w:numPr>
        <w:rPr>
          <w:bCs/>
        </w:rPr>
      </w:pPr>
      <w:r>
        <w:rPr>
          <w:bCs/>
        </w:rPr>
        <w:t>Specific data and brief commentary in relation to Corporate and Service level Key Performance Indicators (KPIs) are provided in Appendix 1.</w:t>
      </w:r>
    </w:p>
    <w:p w:rsidR="00D7709B" w:rsidRPr="00D7709B" w:rsidRDefault="00D7709B" w:rsidP="00D7709B">
      <w:pPr>
        <w:rPr>
          <w:bCs/>
        </w:rPr>
      </w:pPr>
    </w:p>
    <w:p w:rsidR="00D7709B" w:rsidRPr="00D7709B" w:rsidRDefault="00D7709B" w:rsidP="00D7709B">
      <w:pPr>
        <w:rPr>
          <w:b/>
          <w:bCs/>
        </w:rPr>
      </w:pPr>
      <w:r>
        <w:rPr>
          <w:b/>
          <w:bCs/>
        </w:rPr>
        <w:t>Homelessness and rough sleeping</w:t>
      </w:r>
    </w:p>
    <w:p w:rsidR="00D7709B" w:rsidRPr="00D7709B" w:rsidRDefault="00D7709B" w:rsidP="00E847A6">
      <w:pPr>
        <w:pStyle w:val="ListParagraph"/>
        <w:numPr>
          <w:ilvl w:val="0"/>
          <w:numId w:val="35"/>
        </w:numPr>
        <w:rPr>
          <w:bCs/>
        </w:rPr>
      </w:pPr>
      <w:r w:rsidRPr="007533CE">
        <w:rPr>
          <w:rFonts w:cs="Arial"/>
        </w:rPr>
        <w:t xml:space="preserve">Quarter one </w:t>
      </w:r>
      <w:r>
        <w:rPr>
          <w:rFonts w:cs="Arial"/>
        </w:rPr>
        <w:t xml:space="preserve">of this year </w:t>
      </w:r>
      <w:r w:rsidRPr="007533CE">
        <w:rPr>
          <w:rFonts w:cs="Arial"/>
        </w:rPr>
        <w:t xml:space="preserve">has been a challenging period for the relief and prevention of homelessness, </w:t>
      </w:r>
      <w:r w:rsidR="00896A9E">
        <w:rPr>
          <w:rFonts w:cs="Arial"/>
        </w:rPr>
        <w:t>as</w:t>
      </w:r>
      <w:r w:rsidRPr="007533CE">
        <w:rPr>
          <w:rFonts w:cs="Arial"/>
        </w:rPr>
        <w:t xml:space="preserve"> the</w:t>
      </w:r>
      <w:r>
        <w:rPr>
          <w:rFonts w:cs="Arial"/>
        </w:rPr>
        <w:t xml:space="preserve"> housing</w:t>
      </w:r>
      <w:r w:rsidRPr="007533CE">
        <w:rPr>
          <w:rFonts w:cs="Arial"/>
        </w:rPr>
        <w:t xml:space="preserve"> measures brought</w:t>
      </w:r>
      <w:r>
        <w:rPr>
          <w:rFonts w:cs="Arial"/>
        </w:rPr>
        <w:t xml:space="preserve"> in by central government t</w:t>
      </w:r>
      <w:r w:rsidRPr="007533CE">
        <w:rPr>
          <w:rFonts w:cs="Arial"/>
        </w:rPr>
        <w:t xml:space="preserve">o support people </w:t>
      </w:r>
      <w:r>
        <w:rPr>
          <w:rFonts w:cs="Arial"/>
        </w:rPr>
        <w:t xml:space="preserve">through the pandemic </w:t>
      </w:r>
      <w:r w:rsidRPr="007533CE">
        <w:rPr>
          <w:rFonts w:cs="Arial"/>
        </w:rPr>
        <w:t xml:space="preserve">have come to an end. May saw the ending of the eviction ban, with landlords now </w:t>
      </w:r>
      <w:r>
        <w:rPr>
          <w:rFonts w:cs="Arial"/>
        </w:rPr>
        <w:t xml:space="preserve">again </w:t>
      </w:r>
      <w:r w:rsidRPr="007533CE">
        <w:rPr>
          <w:rFonts w:cs="Arial"/>
        </w:rPr>
        <w:t xml:space="preserve">able to take people to court and evict without a </w:t>
      </w:r>
      <w:r>
        <w:rPr>
          <w:rFonts w:cs="Arial"/>
        </w:rPr>
        <w:t xml:space="preserve">stated </w:t>
      </w:r>
      <w:r w:rsidRPr="007533CE">
        <w:rPr>
          <w:rFonts w:cs="Arial"/>
        </w:rPr>
        <w:t xml:space="preserve">grounds, plus the </w:t>
      </w:r>
      <w:r>
        <w:rPr>
          <w:rFonts w:cs="Arial"/>
        </w:rPr>
        <w:t>gradual</w:t>
      </w:r>
      <w:r w:rsidRPr="007533CE">
        <w:rPr>
          <w:rFonts w:cs="Arial"/>
        </w:rPr>
        <w:t xml:space="preserve"> ending of furlough and other measures designed to support business</w:t>
      </w:r>
      <w:r>
        <w:rPr>
          <w:rFonts w:cs="Arial"/>
        </w:rPr>
        <w:t>es</w:t>
      </w:r>
      <w:r w:rsidRPr="007533CE">
        <w:rPr>
          <w:rFonts w:cs="Arial"/>
        </w:rPr>
        <w:t xml:space="preserve"> retain staff</w:t>
      </w:r>
      <w:r>
        <w:rPr>
          <w:rFonts w:cs="Arial"/>
        </w:rPr>
        <w:t>. These changes will continue t</w:t>
      </w:r>
      <w:r w:rsidRPr="007533CE">
        <w:rPr>
          <w:rFonts w:cs="Arial"/>
        </w:rPr>
        <w:t>o put pressure</w:t>
      </w:r>
      <w:r>
        <w:rPr>
          <w:rFonts w:cs="Arial"/>
        </w:rPr>
        <w:t xml:space="preserve"> </w:t>
      </w:r>
      <w:r w:rsidRPr="007533CE">
        <w:rPr>
          <w:rFonts w:cs="Arial"/>
        </w:rPr>
        <w:t>on homelessness through</w:t>
      </w:r>
      <w:r>
        <w:rPr>
          <w:rFonts w:cs="Arial"/>
        </w:rPr>
        <w:t xml:space="preserve">out the year, and may </w:t>
      </w:r>
      <w:r w:rsidRPr="007533CE">
        <w:rPr>
          <w:rFonts w:cs="Arial"/>
        </w:rPr>
        <w:t>get more difficult, due to the end of t</w:t>
      </w:r>
      <w:r>
        <w:rPr>
          <w:rFonts w:cs="Arial"/>
        </w:rPr>
        <w:t>h</w:t>
      </w:r>
      <w:r w:rsidRPr="007533CE">
        <w:rPr>
          <w:rFonts w:cs="Arial"/>
        </w:rPr>
        <w:t>e temporary increase in the personal allow</w:t>
      </w:r>
      <w:r>
        <w:rPr>
          <w:rFonts w:cs="Arial"/>
        </w:rPr>
        <w:t>ance of Universal C</w:t>
      </w:r>
      <w:r w:rsidRPr="007533CE">
        <w:rPr>
          <w:rFonts w:cs="Arial"/>
        </w:rPr>
        <w:t>redit.</w:t>
      </w:r>
    </w:p>
    <w:p w:rsidR="00D7709B" w:rsidRPr="00D7709B" w:rsidRDefault="00D7709B" w:rsidP="00E847A6">
      <w:pPr>
        <w:pStyle w:val="ListParagraph"/>
        <w:numPr>
          <w:ilvl w:val="0"/>
          <w:numId w:val="35"/>
        </w:numPr>
        <w:rPr>
          <w:bCs/>
        </w:rPr>
      </w:pPr>
      <w:r w:rsidRPr="007533CE">
        <w:rPr>
          <w:rFonts w:cs="Arial"/>
        </w:rPr>
        <w:t>Despite this cha</w:t>
      </w:r>
      <w:r>
        <w:rPr>
          <w:rFonts w:cs="Arial"/>
        </w:rPr>
        <w:t xml:space="preserve">llenging environment, services </w:t>
      </w:r>
      <w:r w:rsidRPr="007533CE">
        <w:rPr>
          <w:rFonts w:cs="Arial"/>
        </w:rPr>
        <w:t>delivered and commissioned</w:t>
      </w:r>
      <w:r>
        <w:rPr>
          <w:rFonts w:cs="Arial"/>
        </w:rPr>
        <w:t xml:space="preserve"> by the City C</w:t>
      </w:r>
      <w:r w:rsidRPr="007533CE">
        <w:rPr>
          <w:rFonts w:cs="Arial"/>
        </w:rPr>
        <w:t xml:space="preserve">ouncil have continued to respond effectively to homelessness and rough sleeping. The government has been clear that local authorities should now be exiting emergency accommodation secured during the pandemic, and </w:t>
      </w:r>
      <w:r>
        <w:rPr>
          <w:rFonts w:cs="Arial"/>
        </w:rPr>
        <w:t xml:space="preserve">we have been </w:t>
      </w:r>
      <w:r w:rsidRPr="007533CE">
        <w:rPr>
          <w:rFonts w:cs="Arial"/>
        </w:rPr>
        <w:t>working with individuals to find longer term accommodation options. 350 people have been accommodated through Everyone In, with more than 2</w:t>
      </w:r>
      <w:r>
        <w:rPr>
          <w:rFonts w:cs="Arial"/>
        </w:rPr>
        <w:t>52</w:t>
      </w:r>
      <w:r w:rsidRPr="007533CE">
        <w:rPr>
          <w:rFonts w:cs="Arial"/>
        </w:rPr>
        <w:t xml:space="preserve"> moving on to longer term accommodation. This is already a significant achievement but a sizeable challenge still remains</w:t>
      </w:r>
      <w:r>
        <w:rPr>
          <w:rFonts w:cs="Arial"/>
        </w:rPr>
        <w:t>.</w:t>
      </w:r>
    </w:p>
    <w:p w:rsidR="00D7709B" w:rsidRPr="00D7709B" w:rsidRDefault="00D7709B" w:rsidP="00E847A6">
      <w:pPr>
        <w:pStyle w:val="ListParagraph"/>
        <w:numPr>
          <w:ilvl w:val="0"/>
          <w:numId w:val="35"/>
        </w:numPr>
        <w:rPr>
          <w:bCs/>
        </w:rPr>
      </w:pPr>
      <w:r w:rsidRPr="007533CE">
        <w:rPr>
          <w:rFonts w:cs="Arial"/>
        </w:rPr>
        <w:t>The lease on Canterbury House, which has been used to</w:t>
      </w:r>
      <w:r>
        <w:rPr>
          <w:rFonts w:cs="Arial"/>
        </w:rPr>
        <w:t xml:space="preserve"> accommodate up to 76 people, was</w:t>
      </w:r>
      <w:r w:rsidRPr="007533CE">
        <w:rPr>
          <w:rFonts w:cs="Arial"/>
        </w:rPr>
        <w:t xml:space="preserve"> due to end on July 19</w:t>
      </w:r>
      <w:r w:rsidRPr="007533CE">
        <w:rPr>
          <w:rFonts w:cs="Arial"/>
          <w:vertAlign w:val="superscript"/>
        </w:rPr>
        <w:t>th</w:t>
      </w:r>
      <w:r w:rsidRPr="007533CE">
        <w:rPr>
          <w:rFonts w:cs="Arial"/>
        </w:rPr>
        <w:t>. However we have negotiated a one month extension for one part of the building which will allow 11 people to be accommodated for this further period. This additional time will help to ensure people can secure accommodation prior to leaving Canterbury House.</w:t>
      </w:r>
      <w:r>
        <w:rPr>
          <w:rFonts w:cs="Arial"/>
        </w:rPr>
        <w:t xml:space="preserve"> </w:t>
      </w:r>
      <w:r w:rsidRPr="007533CE">
        <w:rPr>
          <w:rFonts w:cs="Arial"/>
        </w:rPr>
        <w:t>The Council has been working with St Mungo’s who manage Canterbury House and our partners in the sector to secure move on accommodation for everyone. For anyone else who is not able to</w:t>
      </w:r>
      <w:r>
        <w:rPr>
          <w:rFonts w:cs="Arial"/>
        </w:rPr>
        <w:t xml:space="preserve"> secure accommodation by July</w:t>
      </w:r>
      <w:r w:rsidRPr="007533CE">
        <w:rPr>
          <w:rFonts w:cs="Arial"/>
        </w:rPr>
        <w:t>, they will either be able to stay for a further month or will be allocated a hotel room.</w:t>
      </w:r>
    </w:p>
    <w:p w:rsidR="00D7709B" w:rsidRPr="00D7709B" w:rsidRDefault="00D7709B" w:rsidP="00E847A6">
      <w:pPr>
        <w:pStyle w:val="ListParagraph"/>
        <w:numPr>
          <w:ilvl w:val="0"/>
          <w:numId w:val="35"/>
        </w:numPr>
        <w:rPr>
          <w:bCs/>
        </w:rPr>
      </w:pPr>
      <w:r>
        <w:rPr>
          <w:rFonts w:cs="Arial"/>
        </w:rPr>
        <w:t xml:space="preserve">A recent </w:t>
      </w:r>
      <w:r w:rsidRPr="00D57EE6">
        <w:rPr>
          <w:rFonts w:cs="Arial"/>
        </w:rPr>
        <w:t>Rough Sleeping Initiative 4 funding bid has been successful. Funding is only available for one year and has therefore focussed on continuation of existing RSI funded projects due to end, as well as to support the exit from YHA and Canterbury House, including ancillary service at YHA, ‘navigators’ to support complex clients into settled accommodation and a social lettings pilot to open up access into PRS.</w:t>
      </w:r>
    </w:p>
    <w:p w:rsidR="00D7709B" w:rsidRPr="00D7709B" w:rsidRDefault="00D7709B" w:rsidP="00E847A6">
      <w:pPr>
        <w:pStyle w:val="ListParagraph"/>
        <w:numPr>
          <w:ilvl w:val="0"/>
          <w:numId w:val="35"/>
        </w:numPr>
        <w:rPr>
          <w:bCs/>
          <w:color w:val="auto"/>
        </w:rPr>
      </w:pPr>
      <w:r>
        <w:rPr>
          <w:rFonts w:cs="Arial"/>
        </w:rPr>
        <w:t xml:space="preserve">In previous years we reported rough sleeping numbers annually following the annual estimate, in line with the national approach. This year we have moved to quarterly reporting on rough sleeping as we now conduct more regular estimates. Last year saw the number of rough sleepers drop to 26, down from 62 the previous year, and the target of 17 was set for end of 20/21.  We are currently on track to achieve the end of year target. </w:t>
      </w:r>
      <w:r w:rsidRPr="00840812">
        <w:rPr>
          <w:rFonts w:cs="Arial"/>
        </w:rPr>
        <w:t xml:space="preserve">The number of persons sleeping rough in Oxford at the end of June was 24. </w:t>
      </w:r>
      <w:r w:rsidRPr="00D7709B">
        <w:rPr>
          <w:rFonts w:cs="Arial"/>
          <w:color w:val="auto"/>
        </w:rPr>
        <w:t xml:space="preserve">We have seen an increase in new rough sleepers in the last few weeks, which is not uncommon when the weather becomes warmer. With </w:t>
      </w:r>
      <w:r w:rsidRPr="00D7709B">
        <w:rPr>
          <w:rFonts w:cs="Arial"/>
          <w:color w:val="auto"/>
        </w:rPr>
        <w:lastRenderedPageBreak/>
        <w:t>the exit from Canterbury House towards the end of July, we expect to see rough sleeping numbers temporarily increase again at this point. However, compared to the pre-pandemic period, the number of rough sleepers is much lower for the time of year.</w:t>
      </w:r>
    </w:p>
    <w:p w:rsidR="00D7709B" w:rsidRPr="00D7709B" w:rsidRDefault="00D7709B" w:rsidP="00E847A6">
      <w:pPr>
        <w:pStyle w:val="ListParagraph"/>
        <w:numPr>
          <w:ilvl w:val="0"/>
          <w:numId w:val="35"/>
        </w:numPr>
        <w:rPr>
          <w:bCs/>
          <w:color w:val="auto"/>
        </w:rPr>
      </w:pPr>
      <w:r>
        <w:rPr>
          <w:rFonts w:cs="Arial"/>
        </w:rPr>
        <w:t>Statutory homelessness services the council delivers continued to perform well in quarter one, despite the number of people presenting as homeless and the rates of people allocated temporary accommodation still remaining above pre-pandemic levels. The number of households in temporary accommodation (TA) stands at 96, below the target of 110. This year we have moved to report the actual number of households in temporary accommodation at any given time, as opposed to the traditional P1E definition previous used by central government which excluded certain households (such as those in the process of leaving TA).</w:t>
      </w:r>
    </w:p>
    <w:p w:rsidR="00D7709B" w:rsidRPr="00D7709B" w:rsidRDefault="00D7709B" w:rsidP="00E847A6">
      <w:pPr>
        <w:pStyle w:val="ListParagraph"/>
        <w:numPr>
          <w:ilvl w:val="0"/>
          <w:numId w:val="35"/>
        </w:numPr>
        <w:rPr>
          <w:bCs/>
          <w:color w:val="auto"/>
        </w:rPr>
      </w:pPr>
      <w:r>
        <w:rPr>
          <w:rFonts w:cs="Arial"/>
        </w:rPr>
        <w:t>We have adopted a new KPI this year tracking the rate of successful outcomes achieved for those the council owes a homelessness prevention duty to, with success being defined as the customer either being successfully supported to stay in their home, or moved to alternative accommodation. The target has been set at 55%, but 79.6% have been achieved in Q1, a great achievement for the Housing Options team when faced with increased caseloads.</w:t>
      </w:r>
    </w:p>
    <w:p w:rsidR="00D7709B" w:rsidRPr="00D7709B" w:rsidRDefault="00D7709B" w:rsidP="00D7709B">
      <w:pPr>
        <w:pStyle w:val="ListParagraph"/>
        <w:numPr>
          <w:ilvl w:val="0"/>
          <w:numId w:val="0"/>
        </w:numPr>
        <w:ind w:left="360"/>
        <w:rPr>
          <w:bCs/>
          <w:color w:val="auto"/>
        </w:rPr>
      </w:pPr>
    </w:p>
    <w:p w:rsidR="00D7709B" w:rsidRPr="00D7709B" w:rsidRDefault="00D7709B" w:rsidP="00D7709B">
      <w:pPr>
        <w:rPr>
          <w:b/>
          <w:bCs/>
          <w:color w:val="auto"/>
        </w:rPr>
      </w:pPr>
      <w:r w:rsidRPr="00D7709B">
        <w:rPr>
          <w:b/>
          <w:bCs/>
          <w:color w:val="auto"/>
        </w:rPr>
        <w:t>Affordable Development</w:t>
      </w:r>
    </w:p>
    <w:p w:rsidR="00D7709B" w:rsidRPr="00D7709B" w:rsidRDefault="00D7709B" w:rsidP="00D7709B">
      <w:pPr>
        <w:pStyle w:val="ListParagraph"/>
        <w:numPr>
          <w:ilvl w:val="0"/>
          <w:numId w:val="35"/>
        </w:numPr>
        <w:rPr>
          <w:bCs/>
          <w:color w:val="auto"/>
        </w:rPr>
      </w:pPr>
      <w:r>
        <w:rPr>
          <w:rFonts w:cs="Arial"/>
        </w:rPr>
        <w:t xml:space="preserve">A new corporate affordable housing development KPI was agreed for this financial year, setting a 4 year target of 1,200 affordable homes delivered in the city by 24/25, and within this 750 new homes let at a social rent. </w:t>
      </w:r>
      <w:r w:rsidRPr="00F11D24">
        <w:rPr>
          <w:rFonts w:cs="Arial"/>
          <w:iCs/>
        </w:rPr>
        <w:t xml:space="preserve">A move away from a one year target, to a 4 year target, was in acknowledgment that affordable housing development requires strategic and operational support and preparatory work over several years, so a 4 year target was more likely to drive positive outcomes. A 4 year window would also align with the </w:t>
      </w:r>
      <w:r>
        <w:rPr>
          <w:rFonts w:cs="Arial"/>
          <w:iCs/>
        </w:rPr>
        <w:t>Medium Term Financial Plan (</w:t>
      </w:r>
      <w:r w:rsidRPr="00F11D24">
        <w:rPr>
          <w:rFonts w:cs="Arial"/>
          <w:iCs/>
        </w:rPr>
        <w:t>MTFP</w:t>
      </w:r>
      <w:r>
        <w:rPr>
          <w:rFonts w:cs="Arial"/>
          <w:iCs/>
        </w:rPr>
        <w:t>)</w:t>
      </w:r>
      <w:r w:rsidRPr="00F11D24">
        <w:rPr>
          <w:rFonts w:cs="Arial"/>
          <w:iCs/>
        </w:rPr>
        <w:t xml:space="preserve"> and Corporate Plan. Over the 4 years quarterly updates and commentary will be provided to update on progress towards the end target</w:t>
      </w:r>
      <w:r>
        <w:rPr>
          <w:rFonts w:cs="Arial"/>
          <w:iCs/>
        </w:rPr>
        <w:t>.</w:t>
      </w:r>
    </w:p>
    <w:p w:rsidR="00D7709B" w:rsidRPr="00D7709B" w:rsidRDefault="00D7709B" w:rsidP="00D7709B">
      <w:pPr>
        <w:pStyle w:val="ListParagraph"/>
        <w:numPr>
          <w:ilvl w:val="0"/>
          <w:numId w:val="35"/>
        </w:numPr>
        <w:rPr>
          <w:bCs/>
          <w:color w:val="auto"/>
        </w:rPr>
      </w:pPr>
      <w:r>
        <w:rPr>
          <w:rFonts w:cs="Arial"/>
        </w:rPr>
        <w:t>Quarter one saw 49 new affordable homes being delivered in the city, including 48 Social Rent tenancies and 1 Affordable Rented tenancy. 45 were new builds, and 4 were acquisitions. This is a significant acceleration from last year, which was impacted by lockdown and material shortages.</w:t>
      </w:r>
    </w:p>
    <w:p w:rsidR="00D7709B" w:rsidRPr="00D7709B" w:rsidRDefault="00D7709B" w:rsidP="00D7709B">
      <w:pPr>
        <w:pStyle w:val="ListParagraph"/>
        <w:numPr>
          <w:ilvl w:val="0"/>
          <w:numId w:val="35"/>
        </w:numPr>
        <w:rPr>
          <w:bCs/>
          <w:color w:val="auto"/>
        </w:rPr>
      </w:pPr>
      <w:r>
        <w:rPr>
          <w:rFonts w:cs="Arial"/>
        </w:rPr>
        <w:t xml:space="preserve">OCHL is making good progress with the delivery of new homes. Delivery at Rose Hill is in the final stages, with all shared ownership homes under offer, and work is on track at Between Towns Road, </w:t>
      </w:r>
      <w:proofErr w:type="spellStart"/>
      <w:r>
        <w:rPr>
          <w:rFonts w:cs="Arial"/>
        </w:rPr>
        <w:t>Cumberlege</w:t>
      </w:r>
      <w:proofErr w:type="spellEnd"/>
      <w:r>
        <w:rPr>
          <w:rFonts w:cs="Arial"/>
        </w:rPr>
        <w:t xml:space="preserve"> and </w:t>
      </w:r>
      <w:proofErr w:type="spellStart"/>
      <w:r>
        <w:rPr>
          <w:rFonts w:cs="Arial"/>
        </w:rPr>
        <w:t>Elsfield</w:t>
      </w:r>
      <w:proofErr w:type="spellEnd"/>
      <w:r>
        <w:rPr>
          <w:rFonts w:cs="Arial"/>
        </w:rPr>
        <w:t xml:space="preserve"> and </w:t>
      </w:r>
      <w:proofErr w:type="spellStart"/>
      <w:r>
        <w:rPr>
          <w:rFonts w:cs="Arial"/>
        </w:rPr>
        <w:t>Edgecombe</w:t>
      </w:r>
      <w:proofErr w:type="spellEnd"/>
      <w:r>
        <w:rPr>
          <w:rFonts w:cs="Arial"/>
        </w:rPr>
        <w:t xml:space="preserve"> Road, despite issues at some sites with</w:t>
      </w:r>
      <w:r w:rsidRPr="008D0F4D">
        <w:rPr>
          <w:rFonts w:cs="Arial"/>
        </w:rPr>
        <w:t xml:space="preserve"> industry wide materials shortages and </w:t>
      </w:r>
      <w:r>
        <w:rPr>
          <w:rFonts w:cs="Arial"/>
        </w:rPr>
        <w:t xml:space="preserve">slow </w:t>
      </w:r>
      <w:r w:rsidRPr="008D0F4D">
        <w:rPr>
          <w:rFonts w:cs="Arial"/>
        </w:rPr>
        <w:t>statutory utilities connections</w:t>
      </w:r>
      <w:r>
        <w:rPr>
          <w:rFonts w:cs="Arial"/>
        </w:rPr>
        <w:t>. Phase 3 of Barton Park will begin to handover of units in Q3 this year.</w:t>
      </w:r>
    </w:p>
    <w:p w:rsidR="00D7709B" w:rsidRPr="00741C99" w:rsidRDefault="00D7709B" w:rsidP="00D7709B">
      <w:pPr>
        <w:pStyle w:val="ListParagraph"/>
        <w:numPr>
          <w:ilvl w:val="0"/>
          <w:numId w:val="35"/>
        </w:numPr>
        <w:rPr>
          <w:bCs/>
          <w:color w:val="auto"/>
        </w:rPr>
      </w:pPr>
      <w:r>
        <w:rPr>
          <w:rFonts w:cs="Arial"/>
        </w:rPr>
        <w:t xml:space="preserve">Registered Providers are also playing a key role in affordable housing delivery through some large sites, such as currently delivering at the </w:t>
      </w:r>
      <w:proofErr w:type="spellStart"/>
      <w:r>
        <w:rPr>
          <w:rFonts w:cs="Arial"/>
        </w:rPr>
        <w:t>Wo</w:t>
      </w:r>
      <w:r w:rsidR="00741C99">
        <w:rPr>
          <w:rFonts w:cs="Arial"/>
        </w:rPr>
        <w:t>l</w:t>
      </w:r>
      <w:r>
        <w:rPr>
          <w:rFonts w:cs="Arial"/>
        </w:rPr>
        <w:t>vercote</w:t>
      </w:r>
      <w:proofErr w:type="spellEnd"/>
      <w:r>
        <w:rPr>
          <w:rFonts w:cs="Arial"/>
        </w:rPr>
        <w:t xml:space="preserve"> Paper Mill, and within the next 12 months at Littlemore Park and William Morris Close.</w:t>
      </w:r>
    </w:p>
    <w:p w:rsidR="00741C99" w:rsidRDefault="00741C99" w:rsidP="00741C99">
      <w:pPr>
        <w:rPr>
          <w:bCs/>
          <w:color w:val="auto"/>
        </w:rPr>
      </w:pPr>
    </w:p>
    <w:p w:rsidR="00741C99" w:rsidRPr="00741C99" w:rsidRDefault="00741C99" w:rsidP="00741C99">
      <w:pPr>
        <w:rPr>
          <w:b/>
          <w:bCs/>
          <w:color w:val="auto"/>
        </w:rPr>
      </w:pPr>
      <w:r w:rsidRPr="00741C99">
        <w:rPr>
          <w:b/>
          <w:bCs/>
          <w:color w:val="auto"/>
        </w:rPr>
        <w:t>Council Owned Housing Stock</w:t>
      </w:r>
    </w:p>
    <w:p w:rsidR="00741C99" w:rsidRPr="00741C99" w:rsidRDefault="00741C99" w:rsidP="00D7709B">
      <w:pPr>
        <w:pStyle w:val="ListParagraph"/>
        <w:numPr>
          <w:ilvl w:val="0"/>
          <w:numId w:val="35"/>
        </w:numPr>
        <w:rPr>
          <w:bCs/>
          <w:color w:val="auto"/>
        </w:rPr>
      </w:pPr>
      <w:r>
        <w:rPr>
          <w:rFonts w:cs="Arial"/>
        </w:rPr>
        <w:t xml:space="preserve">Our services for tenants have continued to deliver well as we left lockdown in Q1. Teams continue to work in new ways developed through the pandemic response, </w:t>
      </w:r>
      <w:r>
        <w:rPr>
          <w:rFonts w:cs="Arial"/>
        </w:rPr>
        <w:lastRenderedPageBreak/>
        <w:t>increasingly working in ways joined up in the locality, building towards the launch of new locality hub model trial in September to inform future service development.</w:t>
      </w:r>
    </w:p>
    <w:p w:rsidR="00741C99" w:rsidRPr="00741C99" w:rsidRDefault="00741C99" w:rsidP="00741C99">
      <w:pPr>
        <w:pStyle w:val="ListParagraph"/>
        <w:numPr>
          <w:ilvl w:val="0"/>
          <w:numId w:val="35"/>
        </w:numPr>
        <w:rPr>
          <w:rFonts w:cs="Arial"/>
        </w:rPr>
      </w:pPr>
      <w:r w:rsidRPr="00741C99">
        <w:rPr>
          <w:rFonts w:cs="Arial"/>
        </w:rPr>
        <w:t>Progress is being on this year’s target of 46% or fewer homes with lower than an EPC C, down from current baseline of 54%, supported by significant investment from the City Council. To support this we have started to develop a substantial bid to Social Housing Decarbonisation fund in September for retrofitting work to current stock. This would be further to money already won this year from the LAD1b scheme to improve 240 homes, which is funding work such as loft and cavity wall insulation, external wall insulation and air source heat pumps.</w:t>
      </w:r>
    </w:p>
    <w:p w:rsidR="00741C99" w:rsidRDefault="00741C99" w:rsidP="00741C99">
      <w:pPr>
        <w:pStyle w:val="ListParagraph"/>
        <w:numPr>
          <w:ilvl w:val="0"/>
          <w:numId w:val="35"/>
        </w:numPr>
        <w:rPr>
          <w:rFonts w:cs="Arial"/>
        </w:rPr>
      </w:pPr>
      <w:r w:rsidRPr="00741C99">
        <w:rPr>
          <w:rFonts w:cs="Arial"/>
        </w:rPr>
        <w:t xml:space="preserve">Wider investment in our stock has continued, including the recladding of balconies at </w:t>
      </w:r>
      <w:proofErr w:type="spellStart"/>
      <w:r w:rsidRPr="00741C99">
        <w:rPr>
          <w:rFonts w:cs="Arial"/>
        </w:rPr>
        <w:t>Evenlode</w:t>
      </w:r>
      <w:proofErr w:type="spellEnd"/>
      <w:r w:rsidRPr="00741C99">
        <w:rPr>
          <w:rFonts w:cs="Arial"/>
        </w:rPr>
        <w:t xml:space="preserve"> and </w:t>
      </w:r>
      <w:proofErr w:type="spellStart"/>
      <w:r w:rsidRPr="00741C99">
        <w:rPr>
          <w:rFonts w:cs="Arial"/>
        </w:rPr>
        <w:t>Windrush</w:t>
      </w:r>
      <w:proofErr w:type="spellEnd"/>
      <w:r w:rsidRPr="00741C99">
        <w:rPr>
          <w:rFonts w:cs="Arial"/>
        </w:rPr>
        <w:t xml:space="preserve"> towers </w:t>
      </w:r>
      <w:r>
        <w:rPr>
          <w:rFonts w:cs="Arial"/>
        </w:rPr>
        <w:t>now completed.</w:t>
      </w:r>
    </w:p>
    <w:p w:rsidR="00665B05" w:rsidRDefault="00665B05" w:rsidP="00665B05">
      <w:pPr>
        <w:rPr>
          <w:rFonts w:cs="Arial"/>
        </w:rPr>
      </w:pPr>
    </w:p>
    <w:p w:rsidR="00665B05" w:rsidRPr="00665B05" w:rsidRDefault="00665B05" w:rsidP="00665B05">
      <w:pPr>
        <w:rPr>
          <w:rFonts w:cs="Arial"/>
          <w:b/>
        </w:rPr>
      </w:pPr>
      <w:r w:rsidRPr="00665B05">
        <w:rPr>
          <w:rFonts w:cs="Arial"/>
          <w:b/>
        </w:rPr>
        <w:t>Rents</w:t>
      </w:r>
    </w:p>
    <w:p w:rsidR="00741C99" w:rsidRDefault="00741C99" w:rsidP="00741C99">
      <w:pPr>
        <w:pStyle w:val="ListParagraph"/>
        <w:numPr>
          <w:ilvl w:val="0"/>
          <w:numId w:val="35"/>
        </w:numPr>
        <w:rPr>
          <w:rFonts w:cs="Arial"/>
        </w:rPr>
      </w:pPr>
      <w:r w:rsidRPr="00741C99">
        <w:rPr>
          <w:rFonts w:cs="Arial"/>
        </w:rPr>
        <w:t xml:space="preserve">At the end of June, the Council were above target for the rent collected as a percentage of rent collectable. 91.82% of rent had been collected against the target of 88.5%. Rent arrears at the same time stood at £1,178,342.87, </w:t>
      </w:r>
      <w:r w:rsidR="008C3B7A">
        <w:rPr>
          <w:rFonts w:cs="Arial"/>
        </w:rPr>
        <w:t>compared</w:t>
      </w:r>
      <w:r w:rsidRPr="00741C99">
        <w:rPr>
          <w:rFonts w:cs="Arial"/>
        </w:rPr>
        <w:t xml:space="preserve"> to £1,267,448.85 at the same time last year. The arrears figure does not take into account any Direct Debit payments, </w:t>
      </w:r>
      <w:proofErr w:type="gramStart"/>
      <w:r w:rsidRPr="00741C99">
        <w:rPr>
          <w:rFonts w:cs="Arial"/>
        </w:rPr>
        <w:t>Direct</w:t>
      </w:r>
      <w:proofErr w:type="gramEnd"/>
      <w:r w:rsidRPr="00741C99">
        <w:rPr>
          <w:rFonts w:cs="Arial"/>
        </w:rPr>
        <w:t xml:space="preserve"> payments or any calculated regular </w:t>
      </w:r>
      <w:r>
        <w:rPr>
          <w:rFonts w:cs="Arial"/>
        </w:rPr>
        <w:t>payments to be made by tenants.</w:t>
      </w:r>
      <w:r w:rsidR="000238E9">
        <w:rPr>
          <w:rFonts w:cs="Arial"/>
        </w:rPr>
        <w:t xml:space="preserve"> </w:t>
      </w:r>
    </w:p>
    <w:p w:rsidR="00741C99" w:rsidRDefault="00741C99" w:rsidP="00741C99">
      <w:pPr>
        <w:rPr>
          <w:rFonts w:cs="Arial"/>
        </w:rPr>
      </w:pPr>
    </w:p>
    <w:p w:rsidR="00741C99" w:rsidRPr="00741C99" w:rsidRDefault="00741C99" w:rsidP="00741C99">
      <w:pPr>
        <w:rPr>
          <w:rFonts w:cs="Arial"/>
          <w:b/>
        </w:rPr>
      </w:pPr>
      <w:r w:rsidRPr="00741C99">
        <w:rPr>
          <w:rFonts w:cs="Arial"/>
          <w:b/>
        </w:rPr>
        <w:t>Empty Homes</w:t>
      </w:r>
    </w:p>
    <w:p w:rsidR="00741C99" w:rsidRPr="00741C99" w:rsidRDefault="00741C99" w:rsidP="00741C99">
      <w:pPr>
        <w:pStyle w:val="ListParagraph"/>
        <w:numPr>
          <w:ilvl w:val="0"/>
          <w:numId w:val="35"/>
        </w:numPr>
        <w:rPr>
          <w:rFonts w:cs="Arial"/>
        </w:rPr>
      </w:pPr>
      <w:r w:rsidRPr="00741C99">
        <w:rPr>
          <w:rFonts w:cs="Arial"/>
        </w:rPr>
        <w:t>We are continuing to work with property owners to bring empty properties back for domestic use. During April to June 2021, 7 previously empty properties have been re-occupied. All properties had been empty for over 2 years.</w:t>
      </w:r>
    </w:p>
    <w:p w:rsidR="00741C99" w:rsidRPr="00D7709B" w:rsidRDefault="00741C99" w:rsidP="00741C99">
      <w:pPr>
        <w:pStyle w:val="ListParagraph"/>
        <w:numPr>
          <w:ilvl w:val="0"/>
          <w:numId w:val="35"/>
        </w:numPr>
        <w:rPr>
          <w:bCs/>
          <w:color w:val="auto"/>
        </w:rPr>
      </w:pPr>
      <w:r>
        <w:rPr>
          <w:rFonts w:cs="Arial"/>
        </w:rPr>
        <w:t>The annual process of sending out letters to all owners of empty properties is currently taking place. Just over 400 letters will be sent this year. Contacting owners is linked to the New Homes Bonus (NHB) initiative, where the Council receives financial reward for empty dwellings and new building being occupied over and above those that remain empty. The format for the NHB scheme will change from 2022/23 and the payments we will receive for 2021/22 will be the last under the current scheme. Government has recently consulted on the proposed new format of payments, but we are still awaiting details of the new scheme</w:t>
      </w:r>
    </w:p>
    <w:p w:rsidR="00E847A6" w:rsidRPr="00E847A6" w:rsidRDefault="00E847A6" w:rsidP="00E847A6">
      <w:pPr>
        <w:pStyle w:val="ListParagraph"/>
        <w:numPr>
          <w:ilvl w:val="0"/>
          <w:numId w:val="0"/>
        </w:numPr>
        <w:ind w:left="360"/>
        <w:rPr>
          <w:bCs/>
        </w:rPr>
      </w:pPr>
    </w:p>
    <w:p w:rsidR="00D35756" w:rsidRPr="00E847A6" w:rsidRDefault="009559D8" w:rsidP="00E847A6">
      <w:pPr>
        <w:rPr>
          <w:b/>
        </w:rPr>
      </w:pPr>
      <w:r w:rsidRPr="00E847A6">
        <w:rPr>
          <w:b/>
        </w:rPr>
        <w:t>Financial implications</w:t>
      </w:r>
    </w:p>
    <w:p w:rsidR="00E847A6" w:rsidRDefault="006A7C4B" w:rsidP="0062121C">
      <w:pPr>
        <w:pStyle w:val="ListParagraph"/>
        <w:numPr>
          <w:ilvl w:val="0"/>
          <w:numId w:val="35"/>
        </w:numPr>
      </w:pPr>
      <w:r>
        <w:t>This is a report seeking to provide the panel with updates and requires no specific decision and so has no specific financial implications</w:t>
      </w:r>
      <w:r w:rsidR="004F260A" w:rsidRPr="0049066A">
        <w:t>.</w:t>
      </w:r>
    </w:p>
    <w:p w:rsidR="0040736F" w:rsidRPr="00E847A6" w:rsidRDefault="00DA614B" w:rsidP="00E847A6">
      <w:r w:rsidRPr="00E847A6">
        <w:rPr>
          <w:b/>
        </w:rPr>
        <w:t>Legal issues</w:t>
      </w:r>
    </w:p>
    <w:p w:rsidR="0049066A" w:rsidRPr="0062121C" w:rsidRDefault="006A7C4B" w:rsidP="0062121C">
      <w:pPr>
        <w:pStyle w:val="ListParagraph"/>
        <w:numPr>
          <w:ilvl w:val="0"/>
          <w:numId w:val="35"/>
        </w:numPr>
        <w:rPr>
          <w:color w:val="auto"/>
        </w:rPr>
      </w:pPr>
      <w:r>
        <w:t>This is a report seeking to provide the panel with updates and requires no specific decision and so has no specific legal implications</w:t>
      </w:r>
      <w:r w:rsidR="0062121C">
        <w:rPr>
          <w:color w:val="auto"/>
        </w:rPr>
        <w:t>.</w:t>
      </w:r>
    </w:p>
    <w:p w:rsidR="002329CF" w:rsidRPr="00E847A6" w:rsidRDefault="002329CF" w:rsidP="00E847A6">
      <w:pPr>
        <w:rPr>
          <w:b/>
        </w:rPr>
      </w:pPr>
      <w:r w:rsidRPr="00E847A6">
        <w:rPr>
          <w:b/>
        </w:rPr>
        <w:t>Level of risk</w:t>
      </w:r>
    </w:p>
    <w:p w:rsidR="00BC69A4" w:rsidRPr="0062121C" w:rsidRDefault="00256350" w:rsidP="0062121C">
      <w:pPr>
        <w:pStyle w:val="ListParagraph"/>
        <w:numPr>
          <w:ilvl w:val="0"/>
          <w:numId w:val="35"/>
        </w:numPr>
        <w:rPr>
          <w:color w:val="auto"/>
        </w:rPr>
      </w:pPr>
      <w:r w:rsidRPr="0062121C">
        <w:rPr>
          <w:color w:val="auto"/>
        </w:rPr>
        <w:t>All risk implications are covered in</w:t>
      </w:r>
      <w:r w:rsidR="0062121C">
        <w:rPr>
          <w:color w:val="auto"/>
        </w:rPr>
        <w:t xml:space="preserve"> the body of this report</w:t>
      </w:r>
      <w:r w:rsidRPr="0062121C">
        <w:rPr>
          <w:color w:val="auto"/>
        </w:rPr>
        <w:t>.</w:t>
      </w:r>
    </w:p>
    <w:p w:rsidR="002329CF" w:rsidRPr="004D3B4C" w:rsidRDefault="002329CF" w:rsidP="004A6D2F">
      <w:pPr>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4D3B4C" w:rsidRPr="004D3B4C"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4D3B4C" w:rsidRDefault="00E87F7A" w:rsidP="00A46E98">
            <w:pPr>
              <w:rPr>
                <w:b/>
                <w:color w:val="auto"/>
              </w:rPr>
            </w:pPr>
            <w:r w:rsidRPr="004D3B4C">
              <w:rPr>
                <w:b/>
                <w:color w:val="auto"/>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4D3B4C" w:rsidRDefault="006A7C4B" w:rsidP="00A46E98">
            <w:pPr>
              <w:rPr>
                <w:color w:val="auto"/>
              </w:rPr>
            </w:pPr>
            <w:r>
              <w:rPr>
                <w:color w:val="auto"/>
              </w:rPr>
              <w:t>Richard Wood</w:t>
            </w:r>
          </w:p>
          <w:p w:rsidR="00256350" w:rsidRPr="004D3B4C" w:rsidRDefault="00256350" w:rsidP="00256350">
            <w:pPr>
              <w:rPr>
                <w:color w:val="auto"/>
              </w:rPr>
            </w:pPr>
          </w:p>
        </w:tc>
      </w:tr>
      <w:tr w:rsidR="004D3B4C" w:rsidRPr="004D3B4C"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4D3B4C" w:rsidRDefault="00E87F7A" w:rsidP="00A46E98">
            <w:pPr>
              <w:rPr>
                <w:color w:val="auto"/>
              </w:rPr>
            </w:pPr>
            <w:r w:rsidRPr="004D3B4C">
              <w:rPr>
                <w:color w:val="auto"/>
              </w:rPr>
              <w:t>Job title</w:t>
            </w:r>
          </w:p>
        </w:tc>
        <w:tc>
          <w:tcPr>
            <w:tcW w:w="4962" w:type="dxa"/>
            <w:tcBorders>
              <w:top w:val="single" w:sz="8" w:space="0" w:color="000000"/>
              <w:left w:val="nil"/>
              <w:bottom w:val="nil"/>
              <w:right w:val="single" w:sz="8" w:space="0" w:color="000000"/>
            </w:tcBorders>
            <w:shd w:val="clear" w:color="auto" w:fill="auto"/>
          </w:tcPr>
          <w:p w:rsidR="00E87F7A" w:rsidRPr="004D3B4C" w:rsidRDefault="006A7C4B" w:rsidP="00A46E98">
            <w:pPr>
              <w:rPr>
                <w:color w:val="auto"/>
              </w:rPr>
            </w:pPr>
            <w:r>
              <w:rPr>
                <w:color w:val="auto"/>
              </w:rPr>
              <w:t>Strategy and Service Development Manager</w:t>
            </w:r>
          </w:p>
          <w:p w:rsidR="00256350" w:rsidRPr="004D3B4C" w:rsidRDefault="00256350" w:rsidP="00A46E98">
            <w:pPr>
              <w:rPr>
                <w:color w:val="auto"/>
              </w:rPr>
            </w:pPr>
          </w:p>
        </w:tc>
      </w:tr>
      <w:tr w:rsidR="004D3B4C" w:rsidRPr="004D3B4C" w:rsidTr="00A46E98">
        <w:trPr>
          <w:cantSplit/>
          <w:trHeight w:val="396"/>
        </w:trPr>
        <w:tc>
          <w:tcPr>
            <w:tcW w:w="3969" w:type="dxa"/>
            <w:tcBorders>
              <w:top w:val="nil"/>
              <w:left w:val="single" w:sz="8" w:space="0" w:color="000000"/>
              <w:bottom w:val="nil"/>
              <w:right w:val="nil"/>
            </w:tcBorders>
            <w:shd w:val="clear" w:color="auto" w:fill="auto"/>
          </w:tcPr>
          <w:p w:rsidR="00E87F7A" w:rsidRPr="004D3B4C" w:rsidRDefault="00E87F7A" w:rsidP="00A46E98">
            <w:pPr>
              <w:rPr>
                <w:color w:val="auto"/>
              </w:rPr>
            </w:pPr>
            <w:r w:rsidRPr="004D3B4C">
              <w:rPr>
                <w:color w:val="auto"/>
              </w:rPr>
              <w:t>Service area or department</w:t>
            </w:r>
          </w:p>
        </w:tc>
        <w:tc>
          <w:tcPr>
            <w:tcW w:w="4962" w:type="dxa"/>
            <w:tcBorders>
              <w:top w:val="nil"/>
              <w:left w:val="nil"/>
              <w:bottom w:val="nil"/>
              <w:right w:val="single" w:sz="8" w:space="0" w:color="000000"/>
            </w:tcBorders>
            <w:shd w:val="clear" w:color="auto" w:fill="auto"/>
          </w:tcPr>
          <w:p w:rsidR="00E87F7A" w:rsidRPr="004D3B4C" w:rsidRDefault="00E847A6" w:rsidP="00D35756">
            <w:pPr>
              <w:rPr>
                <w:color w:val="auto"/>
              </w:rPr>
            </w:pPr>
            <w:r>
              <w:rPr>
                <w:color w:val="auto"/>
              </w:rPr>
              <w:t>Housing Services</w:t>
            </w:r>
          </w:p>
        </w:tc>
      </w:tr>
      <w:tr w:rsidR="004D3B4C" w:rsidRPr="004D3B4C" w:rsidTr="00A46E98">
        <w:trPr>
          <w:cantSplit/>
          <w:trHeight w:val="396"/>
        </w:trPr>
        <w:tc>
          <w:tcPr>
            <w:tcW w:w="3969" w:type="dxa"/>
            <w:tcBorders>
              <w:top w:val="nil"/>
              <w:left w:val="single" w:sz="8" w:space="0" w:color="000000"/>
              <w:bottom w:val="nil"/>
              <w:right w:val="nil"/>
            </w:tcBorders>
            <w:shd w:val="clear" w:color="auto" w:fill="auto"/>
          </w:tcPr>
          <w:p w:rsidR="00E87F7A" w:rsidRPr="004D3B4C" w:rsidRDefault="00E87F7A" w:rsidP="00A46E98">
            <w:pPr>
              <w:rPr>
                <w:color w:val="auto"/>
              </w:rPr>
            </w:pPr>
            <w:r w:rsidRPr="004D3B4C">
              <w:rPr>
                <w:color w:val="auto"/>
              </w:rPr>
              <w:t xml:space="preserve">Telephone </w:t>
            </w:r>
          </w:p>
        </w:tc>
        <w:tc>
          <w:tcPr>
            <w:tcW w:w="4962" w:type="dxa"/>
            <w:tcBorders>
              <w:top w:val="nil"/>
              <w:left w:val="nil"/>
              <w:bottom w:val="nil"/>
              <w:right w:val="single" w:sz="8" w:space="0" w:color="000000"/>
            </w:tcBorders>
            <w:shd w:val="clear" w:color="auto" w:fill="auto"/>
          </w:tcPr>
          <w:p w:rsidR="00E87F7A" w:rsidRPr="004D3B4C" w:rsidRDefault="003F458C" w:rsidP="00256350">
            <w:pPr>
              <w:rPr>
                <w:color w:val="auto"/>
              </w:rPr>
            </w:pPr>
            <w:r>
              <w:rPr>
                <w:color w:val="auto"/>
              </w:rPr>
              <w:t>01865 25</w:t>
            </w:r>
            <w:r w:rsidR="006A7C4B">
              <w:rPr>
                <w:color w:val="auto"/>
              </w:rPr>
              <w:t>2 002</w:t>
            </w:r>
          </w:p>
        </w:tc>
      </w:tr>
      <w:tr w:rsidR="003F4964" w:rsidRPr="004D3B4C"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4D3B4C" w:rsidRDefault="00E87F7A" w:rsidP="00A46E98">
            <w:pPr>
              <w:rPr>
                <w:color w:val="auto"/>
              </w:rPr>
            </w:pPr>
            <w:r w:rsidRPr="004D3B4C">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E87F7A" w:rsidRPr="004D3B4C" w:rsidRDefault="006A7C4B" w:rsidP="00D35756">
            <w:pPr>
              <w:rPr>
                <w:rStyle w:val="Hyperlink"/>
                <w:color w:val="auto"/>
              </w:rPr>
            </w:pPr>
            <w:r>
              <w:t>rwood</w:t>
            </w:r>
            <w:hyperlink r:id="rId8" w:history="1">
              <w:r w:rsidR="00E847A6" w:rsidRPr="00367FA9">
                <w:rPr>
                  <w:rStyle w:val="Hyperlink"/>
                </w:rPr>
                <w:t>@oxford.gov.uk</w:t>
              </w:r>
            </w:hyperlink>
          </w:p>
        </w:tc>
      </w:tr>
    </w:tbl>
    <w:p w:rsidR="00433B96" w:rsidRPr="004D3B4C" w:rsidRDefault="00433B96" w:rsidP="004A6D2F">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4D3B4C" w:rsidRPr="004D3B4C"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4D3B4C" w:rsidRDefault="00182B81" w:rsidP="00F41AC1">
            <w:pPr>
              <w:rPr>
                <w:color w:val="auto"/>
              </w:rPr>
            </w:pPr>
            <w:r w:rsidRPr="004D3B4C">
              <w:rPr>
                <w:rStyle w:val="Firstpagetablebold"/>
                <w:color w:val="auto"/>
              </w:rPr>
              <w:t xml:space="preserve">Background Papers: </w:t>
            </w:r>
            <w:r w:rsidRPr="004D3B4C">
              <w:rPr>
                <w:rStyle w:val="Firstpagetablebold"/>
                <w:b w:val="0"/>
                <w:color w:val="auto"/>
              </w:rPr>
              <w:t>None</w:t>
            </w:r>
          </w:p>
        </w:tc>
      </w:tr>
      <w:tr w:rsidR="003F4964" w:rsidRPr="004D3B4C" w:rsidTr="00A46E98">
        <w:tc>
          <w:tcPr>
            <w:tcW w:w="567" w:type="dxa"/>
            <w:tcBorders>
              <w:top w:val="nil"/>
              <w:left w:val="single" w:sz="8" w:space="0" w:color="000000"/>
              <w:bottom w:val="single" w:sz="8" w:space="0" w:color="000000"/>
              <w:right w:val="nil"/>
            </w:tcBorders>
            <w:shd w:val="clear" w:color="auto" w:fill="auto"/>
          </w:tcPr>
          <w:p w:rsidR="0093067A" w:rsidRPr="004D3B4C" w:rsidRDefault="0093067A" w:rsidP="00F41AC1">
            <w:pPr>
              <w:rPr>
                <w:color w:val="auto"/>
              </w:rPr>
            </w:pPr>
          </w:p>
        </w:tc>
        <w:tc>
          <w:tcPr>
            <w:tcW w:w="8364" w:type="dxa"/>
            <w:tcBorders>
              <w:top w:val="nil"/>
              <w:left w:val="nil"/>
              <w:bottom w:val="single" w:sz="8" w:space="0" w:color="000000"/>
              <w:right w:val="single" w:sz="8" w:space="0" w:color="000000"/>
            </w:tcBorders>
          </w:tcPr>
          <w:p w:rsidR="0093067A" w:rsidRPr="004D3B4C" w:rsidRDefault="0093067A" w:rsidP="00F41AC1">
            <w:pPr>
              <w:rPr>
                <w:color w:val="auto"/>
              </w:rPr>
            </w:pPr>
          </w:p>
        </w:tc>
      </w:tr>
    </w:tbl>
    <w:p w:rsidR="00CE4C87" w:rsidRPr="004D3B4C" w:rsidRDefault="00CE4C87" w:rsidP="0093067A">
      <w:pPr>
        <w:rPr>
          <w:color w:val="auto"/>
        </w:rPr>
      </w:pPr>
    </w:p>
    <w:p w:rsidR="00934E6B" w:rsidRPr="004D3B4C" w:rsidRDefault="00934E6B">
      <w:pPr>
        <w:rPr>
          <w:color w:val="auto"/>
        </w:rPr>
      </w:pPr>
    </w:p>
    <w:p w:rsidR="00087FA8" w:rsidRPr="004D3B4C" w:rsidRDefault="00087FA8">
      <w:pPr>
        <w:rPr>
          <w:color w:val="auto"/>
        </w:rPr>
      </w:pPr>
    </w:p>
    <w:sectPr w:rsidR="00087FA8" w:rsidRPr="004D3B4C" w:rsidSect="00BC200B">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304" w:left="1304" w:header="1134" w:footer="68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BC2606" w16cid:durableId="247C69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AC4" w:rsidRDefault="00B60AC4" w:rsidP="004A6D2F">
      <w:r>
        <w:separator/>
      </w:r>
    </w:p>
  </w:endnote>
  <w:endnote w:type="continuationSeparator" w:id="0">
    <w:p w:rsidR="00B60AC4" w:rsidRDefault="00B60AC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EAE" w:rsidRDefault="004A3EAE" w:rsidP="004A6D2F">
    <w:pPr>
      <w:pStyle w:val="Footer"/>
    </w:pPr>
    <w:r>
      <w:t>Do not use a footer or page numbers.</w:t>
    </w:r>
  </w:p>
  <w:p w:rsidR="004A3EAE" w:rsidRDefault="004A3EAE" w:rsidP="004A6D2F">
    <w:pPr>
      <w:pStyle w:val="Footer"/>
    </w:pPr>
  </w:p>
  <w:p w:rsidR="004A3EAE" w:rsidRDefault="004A3EAE"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F19" w:rsidRDefault="00B87F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EAE" w:rsidRDefault="004A3EAE"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AC4" w:rsidRDefault="00B60AC4" w:rsidP="004A6D2F">
      <w:r>
        <w:separator/>
      </w:r>
    </w:p>
  </w:footnote>
  <w:footnote w:type="continuationSeparator" w:id="0">
    <w:p w:rsidR="00B60AC4" w:rsidRDefault="00B60AC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F19" w:rsidRDefault="00B87F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F19" w:rsidRDefault="00B87F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EAE" w:rsidRDefault="00434D16" w:rsidP="00D5547E">
    <w:pPr>
      <w:pStyle w:val="Header"/>
      <w:jc w:val="right"/>
    </w:pPr>
    <w:r>
      <w:rPr>
        <w:noProof/>
      </w:rPr>
      <w:drawing>
        <wp:inline distT="0" distB="0" distL="0" distR="0" wp14:anchorId="0637C5DA" wp14:editId="24ADF90A">
          <wp:extent cx="835025" cy="1113155"/>
          <wp:effectExtent l="0" t="0" r="3175" b="4445"/>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11131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33A2"/>
    <w:multiLevelType w:val="hybridMultilevel"/>
    <w:tmpl w:val="14E4CBDA"/>
    <w:lvl w:ilvl="0" w:tplc="839C8594">
      <w:start w:val="10"/>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90153"/>
    <w:multiLevelType w:val="hybridMultilevel"/>
    <w:tmpl w:val="12DCDB5A"/>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8C30BB"/>
    <w:multiLevelType w:val="multilevel"/>
    <w:tmpl w:val="E67CE66C"/>
    <w:styleLink w:val="StyleNumberedLeft0cmHanging075cm"/>
    <w:lvl w:ilvl="0">
      <w:start w:val="1"/>
      <w:numFmt w:val="decimal"/>
      <w:lvlText w:val="%1."/>
      <w:lvlJc w:val="left"/>
      <w:pPr>
        <w:ind w:left="786"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6F11CB"/>
    <w:multiLevelType w:val="hybridMultilevel"/>
    <w:tmpl w:val="FADA251E"/>
    <w:lvl w:ilvl="0" w:tplc="0809000F">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09B1065C"/>
    <w:multiLevelType w:val="hybridMultilevel"/>
    <w:tmpl w:val="29E6E0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963AA2"/>
    <w:multiLevelType w:val="hybridMultilevel"/>
    <w:tmpl w:val="28C2EAEE"/>
    <w:lvl w:ilvl="0" w:tplc="D398F5FA">
      <w:start w:val="1"/>
      <w:numFmt w:val="decimal"/>
      <w:lvlText w:val="%1."/>
      <w:lvlJc w:val="left"/>
      <w:pPr>
        <w:ind w:left="360" w:hanging="360"/>
      </w:pPr>
      <w:rPr>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F3E6C25"/>
    <w:multiLevelType w:val="hybridMultilevel"/>
    <w:tmpl w:val="40101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803696"/>
    <w:multiLevelType w:val="multilevel"/>
    <w:tmpl w:val="919EE390"/>
    <w:lvl w:ilvl="0">
      <w:start w:val="1"/>
      <w:numFmt w:val="bullet"/>
      <w:lvlText w:val=""/>
      <w:lvlJc w:val="left"/>
      <w:pPr>
        <w:ind w:left="643" w:hanging="360"/>
      </w:pPr>
      <w:rPr>
        <w:rFonts w:ascii="Symbol" w:hAnsi="Symbol" w:hint="default"/>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5865C4C"/>
    <w:multiLevelType w:val="hybridMultilevel"/>
    <w:tmpl w:val="3C20F45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125748"/>
    <w:multiLevelType w:val="hybridMultilevel"/>
    <w:tmpl w:val="374A7F8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1D132203"/>
    <w:multiLevelType w:val="hybridMultilevel"/>
    <w:tmpl w:val="009CB428"/>
    <w:lvl w:ilvl="0" w:tplc="8300FCC8">
      <w:numFmt w:val="bullet"/>
      <w:lvlText w:val=""/>
      <w:lvlJc w:val="left"/>
      <w:pPr>
        <w:ind w:left="930" w:hanging="57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657735"/>
    <w:multiLevelType w:val="hybridMultilevel"/>
    <w:tmpl w:val="DDC8E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1AF64E1"/>
    <w:multiLevelType w:val="hybridMultilevel"/>
    <w:tmpl w:val="90081412"/>
    <w:lvl w:ilvl="0" w:tplc="EABCEB10">
      <w:start w:val="9"/>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5B1C7F"/>
    <w:multiLevelType w:val="hybridMultilevel"/>
    <w:tmpl w:val="D1B4A638"/>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6" w15:restartNumberingAfterBreak="0">
    <w:nsid w:val="3A811E88"/>
    <w:multiLevelType w:val="hybridMultilevel"/>
    <w:tmpl w:val="CBC255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A46B1F"/>
    <w:multiLevelType w:val="hybridMultilevel"/>
    <w:tmpl w:val="958C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6B1E3D"/>
    <w:multiLevelType w:val="hybridMultilevel"/>
    <w:tmpl w:val="7E3A1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C931F0"/>
    <w:multiLevelType w:val="hybridMultilevel"/>
    <w:tmpl w:val="04B85FC4"/>
    <w:lvl w:ilvl="0" w:tplc="94D68206">
      <w:start w:val="6"/>
      <w:numFmt w:val="decimal"/>
      <w:lvlText w:val="%1."/>
      <w:lvlJc w:val="left"/>
      <w:pPr>
        <w:ind w:left="786" w:hanging="360"/>
      </w:pPr>
      <w:rPr>
        <w:rFonts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2F1623"/>
    <w:multiLevelType w:val="hybridMultilevel"/>
    <w:tmpl w:val="EC368C1C"/>
    <w:lvl w:ilvl="0" w:tplc="08090001">
      <w:start w:val="1"/>
      <w:numFmt w:val="bullet"/>
      <w:lvlText w:val=""/>
      <w:lvlJc w:val="left"/>
      <w:pPr>
        <w:ind w:left="1473" w:hanging="360"/>
      </w:pPr>
      <w:rPr>
        <w:rFonts w:ascii="Symbol" w:hAnsi="Symbol" w:hint="default"/>
      </w:rPr>
    </w:lvl>
    <w:lvl w:ilvl="1" w:tplc="08090003" w:tentative="1">
      <w:start w:val="1"/>
      <w:numFmt w:val="bullet"/>
      <w:lvlText w:val="o"/>
      <w:lvlJc w:val="left"/>
      <w:pPr>
        <w:ind w:left="2193" w:hanging="360"/>
      </w:pPr>
      <w:rPr>
        <w:rFonts w:ascii="Courier New" w:hAnsi="Courier New" w:cs="Courier New" w:hint="default"/>
      </w:rPr>
    </w:lvl>
    <w:lvl w:ilvl="2" w:tplc="08090005" w:tentative="1">
      <w:start w:val="1"/>
      <w:numFmt w:val="bullet"/>
      <w:lvlText w:val=""/>
      <w:lvlJc w:val="left"/>
      <w:pPr>
        <w:ind w:left="2913" w:hanging="360"/>
      </w:pPr>
      <w:rPr>
        <w:rFonts w:ascii="Wingdings" w:hAnsi="Wingdings" w:hint="default"/>
      </w:rPr>
    </w:lvl>
    <w:lvl w:ilvl="3" w:tplc="08090001" w:tentative="1">
      <w:start w:val="1"/>
      <w:numFmt w:val="bullet"/>
      <w:lvlText w:val=""/>
      <w:lvlJc w:val="left"/>
      <w:pPr>
        <w:ind w:left="3633" w:hanging="360"/>
      </w:pPr>
      <w:rPr>
        <w:rFonts w:ascii="Symbol" w:hAnsi="Symbol" w:hint="default"/>
      </w:rPr>
    </w:lvl>
    <w:lvl w:ilvl="4" w:tplc="08090003" w:tentative="1">
      <w:start w:val="1"/>
      <w:numFmt w:val="bullet"/>
      <w:lvlText w:val="o"/>
      <w:lvlJc w:val="left"/>
      <w:pPr>
        <w:ind w:left="4353" w:hanging="360"/>
      </w:pPr>
      <w:rPr>
        <w:rFonts w:ascii="Courier New" w:hAnsi="Courier New" w:cs="Courier New" w:hint="default"/>
      </w:rPr>
    </w:lvl>
    <w:lvl w:ilvl="5" w:tplc="08090005" w:tentative="1">
      <w:start w:val="1"/>
      <w:numFmt w:val="bullet"/>
      <w:lvlText w:val=""/>
      <w:lvlJc w:val="left"/>
      <w:pPr>
        <w:ind w:left="5073" w:hanging="360"/>
      </w:pPr>
      <w:rPr>
        <w:rFonts w:ascii="Wingdings" w:hAnsi="Wingdings" w:hint="default"/>
      </w:rPr>
    </w:lvl>
    <w:lvl w:ilvl="6" w:tplc="08090001" w:tentative="1">
      <w:start w:val="1"/>
      <w:numFmt w:val="bullet"/>
      <w:lvlText w:val=""/>
      <w:lvlJc w:val="left"/>
      <w:pPr>
        <w:ind w:left="5793" w:hanging="360"/>
      </w:pPr>
      <w:rPr>
        <w:rFonts w:ascii="Symbol" w:hAnsi="Symbol" w:hint="default"/>
      </w:rPr>
    </w:lvl>
    <w:lvl w:ilvl="7" w:tplc="08090003" w:tentative="1">
      <w:start w:val="1"/>
      <w:numFmt w:val="bullet"/>
      <w:lvlText w:val="o"/>
      <w:lvlJc w:val="left"/>
      <w:pPr>
        <w:ind w:left="6513" w:hanging="360"/>
      </w:pPr>
      <w:rPr>
        <w:rFonts w:ascii="Courier New" w:hAnsi="Courier New" w:cs="Courier New" w:hint="default"/>
      </w:rPr>
    </w:lvl>
    <w:lvl w:ilvl="8" w:tplc="08090005" w:tentative="1">
      <w:start w:val="1"/>
      <w:numFmt w:val="bullet"/>
      <w:lvlText w:val=""/>
      <w:lvlJc w:val="left"/>
      <w:pPr>
        <w:ind w:left="7233" w:hanging="360"/>
      </w:pPr>
      <w:rPr>
        <w:rFonts w:ascii="Wingdings" w:hAnsi="Wingdings" w:hint="default"/>
      </w:rPr>
    </w:lvl>
  </w:abstractNum>
  <w:abstractNum w:abstractNumId="21" w15:restartNumberingAfterBreak="0">
    <w:nsid w:val="482E4E3B"/>
    <w:multiLevelType w:val="hybridMultilevel"/>
    <w:tmpl w:val="A9D85204"/>
    <w:lvl w:ilvl="0" w:tplc="022218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325441"/>
    <w:multiLevelType w:val="multilevel"/>
    <w:tmpl w:val="32429174"/>
    <w:lvl w:ilvl="0">
      <w:start w:val="1"/>
      <w:numFmt w:val="decimal"/>
      <w:lvlText w:val="%1."/>
      <w:lvlJc w:val="left"/>
      <w:pPr>
        <w:ind w:left="360"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DAE49C4"/>
    <w:multiLevelType w:val="hybridMultilevel"/>
    <w:tmpl w:val="3FFCFD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4CA110F"/>
    <w:multiLevelType w:val="hybridMultilevel"/>
    <w:tmpl w:val="27240D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FF74C0A"/>
    <w:multiLevelType w:val="hybridMultilevel"/>
    <w:tmpl w:val="E36EA0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AB3D90"/>
    <w:multiLevelType w:val="hybridMultilevel"/>
    <w:tmpl w:val="6824A2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2904D9"/>
    <w:multiLevelType w:val="hybridMultilevel"/>
    <w:tmpl w:val="2E607C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BF20058"/>
    <w:multiLevelType w:val="hybridMultilevel"/>
    <w:tmpl w:val="AA0ACA2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0" w15:restartNumberingAfterBreak="0">
    <w:nsid w:val="6E6F6BE9"/>
    <w:multiLevelType w:val="hybridMultilevel"/>
    <w:tmpl w:val="10643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8365C6"/>
    <w:multiLevelType w:val="multilevel"/>
    <w:tmpl w:val="BB2AD32E"/>
    <w:lvl w:ilvl="0">
      <w:start w:val="2"/>
      <w:numFmt w:val="decimal"/>
      <w:pStyle w:val="ListParagraph"/>
      <w:lvlText w:val="%1."/>
      <w:lvlJc w:val="left"/>
      <w:pPr>
        <w:ind w:left="786"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7A531E04"/>
    <w:multiLevelType w:val="hybridMultilevel"/>
    <w:tmpl w:val="86DAC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EF58A1"/>
    <w:multiLevelType w:val="hybridMultilevel"/>
    <w:tmpl w:val="C054D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1"/>
  </w:num>
  <w:num w:numId="3">
    <w:abstractNumId w:val="13"/>
  </w:num>
  <w:num w:numId="4">
    <w:abstractNumId w:val="3"/>
  </w:num>
  <w:num w:numId="5">
    <w:abstractNumId w:val="28"/>
  </w:num>
  <w:num w:numId="6">
    <w:abstractNumId w:val="1"/>
  </w:num>
  <w:num w:numId="7">
    <w:abstractNumId w:val="22"/>
  </w:num>
  <w:num w:numId="8">
    <w:abstractNumId w:val="11"/>
  </w:num>
  <w:num w:numId="9">
    <w:abstractNumId w:val="18"/>
  </w:num>
  <w:num w:numId="10">
    <w:abstractNumId w:val="8"/>
  </w:num>
  <w:num w:numId="11">
    <w:abstractNumId w:val="7"/>
  </w:num>
  <w:num w:numId="12">
    <w:abstractNumId w:val="4"/>
  </w:num>
  <w:num w:numId="13">
    <w:abstractNumId w:val="20"/>
  </w:num>
  <w:num w:numId="14">
    <w:abstractNumId w:val="23"/>
  </w:num>
  <w:num w:numId="15">
    <w:abstractNumId w:val="24"/>
  </w:num>
  <w:num w:numId="16">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4"/>
  </w:num>
  <w:num w:numId="19">
    <w:abstractNumId w:val="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9"/>
  </w:num>
  <w:num w:numId="23">
    <w:abstractNumId w:val="17"/>
  </w:num>
  <w:num w:numId="24">
    <w:abstractNumId w:val="5"/>
  </w:num>
  <w:num w:numId="25">
    <w:abstractNumId w:val="33"/>
  </w:num>
  <w:num w:numId="26">
    <w:abstractNumId w:val="12"/>
  </w:num>
  <w:num w:numId="27">
    <w:abstractNumId w:val="21"/>
  </w:num>
  <w:num w:numId="28">
    <w:abstractNumId w:val="30"/>
  </w:num>
  <w:num w:numId="29">
    <w:abstractNumId w:val="15"/>
  </w:num>
  <w:num w:numId="30">
    <w:abstractNumId w:val="32"/>
  </w:num>
  <w:num w:numId="31">
    <w:abstractNumId w:val="9"/>
  </w:num>
  <w:num w:numId="32">
    <w:abstractNumId w:val="27"/>
  </w:num>
  <w:num w:numId="33">
    <w:abstractNumId w:val="3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6"/>
  </w:num>
  <w:num w:numId="3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3F30"/>
    <w:rsid w:val="00005E14"/>
    <w:rsid w:val="00007464"/>
    <w:rsid w:val="000117D4"/>
    <w:rsid w:val="000119EC"/>
    <w:rsid w:val="000202F2"/>
    <w:rsid w:val="00021313"/>
    <w:rsid w:val="000238E9"/>
    <w:rsid w:val="00024EF5"/>
    <w:rsid w:val="00030BDD"/>
    <w:rsid w:val="000314D7"/>
    <w:rsid w:val="00033248"/>
    <w:rsid w:val="00034DFA"/>
    <w:rsid w:val="000415F8"/>
    <w:rsid w:val="00041770"/>
    <w:rsid w:val="00044A94"/>
    <w:rsid w:val="00045CFD"/>
    <w:rsid w:val="00045F8B"/>
    <w:rsid w:val="00046D2B"/>
    <w:rsid w:val="00047B56"/>
    <w:rsid w:val="0005299B"/>
    <w:rsid w:val="00052F57"/>
    <w:rsid w:val="0005443F"/>
    <w:rsid w:val="00055009"/>
    <w:rsid w:val="00056263"/>
    <w:rsid w:val="00056B8F"/>
    <w:rsid w:val="00060092"/>
    <w:rsid w:val="00062CA2"/>
    <w:rsid w:val="00063A0F"/>
    <w:rsid w:val="00064D8A"/>
    <w:rsid w:val="00064F82"/>
    <w:rsid w:val="00066510"/>
    <w:rsid w:val="00070E1A"/>
    <w:rsid w:val="0007293F"/>
    <w:rsid w:val="00073CC5"/>
    <w:rsid w:val="000753A8"/>
    <w:rsid w:val="00076268"/>
    <w:rsid w:val="0007692D"/>
    <w:rsid w:val="00077523"/>
    <w:rsid w:val="000776FF"/>
    <w:rsid w:val="000811A3"/>
    <w:rsid w:val="00081E30"/>
    <w:rsid w:val="000838DB"/>
    <w:rsid w:val="00085B72"/>
    <w:rsid w:val="00085F4A"/>
    <w:rsid w:val="00087FA8"/>
    <w:rsid w:val="0009130F"/>
    <w:rsid w:val="000917F9"/>
    <w:rsid w:val="00092163"/>
    <w:rsid w:val="00093353"/>
    <w:rsid w:val="00096070"/>
    <w:rsid w:val="000A00A3"/>
    <w:rsid w:val="000A026F"/>
    <w:rsid w:val="000A56BE"/>
    <w:rsid w:val="000A5F1F"/>
    <w:rsid w:val="000B5D37"/>
    <w:rsid w:val="000B6726"/>
    <w:rsid w:val="000B6A77"/>
    <w:rsid w:val="000B6C3C"/>
    <w:rsid w:val="000C089F"/>
    <w:rsid w:val="000C1A15"/>
    <w:rsid w:val="000C35CD"/>
    <w:rsid w:val="000C3928"/>
    <w:rsid w:val="000C3FBC"/>
    <w:rsid w:val="000C4C93"/>
    <w:rsid w:val="000C5E8E"/>
    <w:rsid w:val="000C6280"/>
    <w:rsid w:val="000D16EF"/>
    <w:rsid w:val="000D5378"/>
    <w:rsid w:val="000D6E10"/>
    <w:rsid w:val="000D7112"/>
    <w:rsid w:val="000D7AB6"/>
    <w:rsid w:val="000E0057"/>
    <w:rsid w:val="000E0560"/>
    <w:rsid w:val="000E0892"/>
    <w:rsid w:val="000E4222"/>
    <w:rsid w:val="000E6150"/>
    <w:rsid w:val="000E6801"/>
    <w:rsid w:val="000F1E93"/>
    <w:rsid w:val="000F2A7A"/>
    <w:rsid w:val="000F3585"/>
    <w:rsid w:val="000F44CC"/>
    <w:rsid w:val="000F4751"/>
    <w:rsid w:val="000F4EBE"/>
    <w:rsid w:val="00100B3F"/>
    <w:rsid w:val="001015BA"/>
    <w:rsid w:val="00103EAA"/>
    <w:rsid w:val="0010524C"/>
    <w:rsid w:val="0010611D"/>
    <w:rsid w:val="00106E1A"/>
    <w:rsid w:val="001103A9"/>
    <w:rsid w:val="001119CD"/>
    <w:rsid w:val="00111FB1"/>
    <w:rsid w:val="001121C1"/>
    <w:rsid w:val="0011233D"/>
    <w:rsid w:val="0011263A"/>
    <w:rsid w:val="00113418"/>
    <w:rsid w:val="00117FD9"/>
    <w:rsid w:val="00120699"/>
    <w:rsid w:val="00121043"/>
    <w:rsid w:val="00123524"/>
    <w:rsid w:val="00124CD2"/>
    <w:rsid w:val="001318CF"/>
    <w:rsid w:val="00133FFA"/>
    <w:rsid w:val="001356F1"/>
    <w:rsid w:val="00136994"/>
    <w:rsid w:val="00136EB8"/>
    <w:rsid w:val="00136FB7"/>
    <w:rsid w:val="00140E06"/>
    <w:rsid w:val="0014128E"/>
    <w:rsid w:val="00141634"/>
    <w:rsid w:val="00147810"/>
    <w:rsid w:val="001479C1"/>
    <w:rsid w:val="00151888"/>
    <w:rsid w:val="0015241C"/>
    <w:rsid w:val="001531B9"/>
    <w:rsid w:val="00153496"/>
    <w:rsid w:val="00153515"/>
    <w:rsid w:val="00155948"/>
    <w:rsid w:val="00156074"/>
    <w:rsid w:val="00160BAB"/>
    <w:rsid w:val="00162B63"/>
    <w:rsid w:val="001650C2"/>
    <w:rsid w:val="00165DB6"/>
    <w:rsid w:val="001665D8"/>
    <w:rsid w:val="0017015E"/>
    <w:rsid w:val="001705FE"/>
    <w:rsid w:val="00170A2D"/>
    <w:rsid w:val="00170D87"/>
    <w:rsid w:val="00172D62"/>
    <w:rsid w:val="001757B4"/>
    <w:rsid w:val="00177372"/>
    <w:rsid w:val="001808BC"/>
    <w:rsid w:val="0018147F"/>
    <w:rsid w:val="00182B81"/>
    <w:rsid w:val="001860E6"/>
    <w:rsid w:val="0018619D"/>
    <w:rsid w:val="001866BD"/>
    <w:rsid w:val="00187084"/>
    <w:rsid w:val="00187D58"/>
    <w:rsid w:val="0019019C"/>
    <w:rsid w:val="001944A2"/>
    <w:rsid w:val="0019563E"/>
    <w:rsid w:val="00195CA7"/>
    <w:rsid w:val="00195CED"/>
    <w:rsid w:val="00197786"/>
    <w:rsid w:val="001A011E"/>
    <w:rsid w:val="001A066A"/>
    <w:rsid w:val="001A13E6"/>
    <w:rsid w:val="001A4DDB"/>
    <w:rsid w:val="001A5731"/>
    <w:rsid w:val="001A60BF"/>
    <w:rsid w:val="001A7448"/>
    <w:rsid w:val="001B0394"/>
    <w:rsid w:val="001B42C3"/>
    <w:rsid w:val="001B57C2"/>
    <w:rsid w:val="001C0E6C"/>
    <w:rsid w:val="001C1E83"/>
    <w:rsid w:val="001C5D5E"/>
    <w:rsid w:val="001D228B"/>
    <w:rsid w:val="001D522C"/>
    <w:rsid w:val="001D678D"/>
    <w:rsid w:val="001D6B95"/>
    <w:rsid w:val="001D7960"/>
    <w:rsid w:val="001E03B7"/>
    <w:rsid w:val="001E03F8"/>
    <w:rsid w:val="001E1678"/>
    <w:rsid w:val="001E3376"/>
    <w:rsid w:val="001E373D"/>
    <w:rsid w:val="001E54EC"/>
    <w:rsid w:val="001E5C62"/>
    <w:rsid w:val="001E5C87"/>
    <w:rsid w:val="001E7AFD"/>
    <w:rsid w:val="001F04F3"/>
    <w:rsid w:val="001F073F"/>
    <w:rsid w:val="001F2192"/>
    <w:rsid w:val="001F4DC6"/>
    <w:rsid w:val="00200787"/>
    <w:rsid w:val="002018CC"/>
    <w:rsid w:val="00205EF0"/>
    <w:rsid w:val="00206053"/>
    <w:rsid w:val="002069B3"/>
    <w:rsid w:val="00206B28"/>
    <w:rsid w:val="0021127E"/>
    <w:rsid w:val="00211440"/>
    <w:rsid w:val="002118D6"/>
    <w:rsid w:val="00213A89"/>
    <w:rsid w:val="00215DC1"/>
    <w:rsid w:val="00216AA4"/>
    <w:rsid w:val="00216D87"/>
    <w:rsid w:val="00217CBC"/>
    <w:rsid w:val="00217D91"/>
    <w:rsid w:val="00221C73"/>
    <w:rsid w:val="00223D22"/>
    <w:rsid w:val="00224C93"/>
    <w:rsid w:val="002255C7"/>
    <w:rsid w:val="002256CA"/>
    <w:rsid w:val="00225A4F"/>
    <w:rsid w:val="00226CEB"/>
    <w:rsid w:val="002301B9"/>
    <w:rsid w:val="00230D26"/>
    <w:rsid w:val="002329CF"/>
    <w:rsid w:val="00232F5B"/>
    <w:rsid w:val="00233A3B"/>
    <w:rsid w:val="0024230D"/>
    <w:rsid w:val="002440AD"/>
    <w:rsid w:val="00244FEC"/>
    <w:rsid w:val="00246CCD"/>
    <w:rsid w:val="00247C29"/>
    <w:rsid w:val="00250D64"/>
    <w:rsid w:val="00251369"/>
    <w:rsid w:val="00251FE4"/>
    <w:rsid w:val="00254C37"/>
    <w:rsid w:val="00255E80"/>
    <w:rsid w:val="00256350"/>
    <w:rsid w:val="00260467"/>
    <w:rsid w:val="00261D35"/>
    <w:rsid w:val="00263EA3"/>
    <w:rsid w:val="00265217"/>
    <w:rsid w:val="00265BB1"/>
    <w:rsid w:val="0026625F"/>
    <w:rsid w:val="002665C2"/>
    <w:rsid w:val="00276646"/>
    <w:rsid w:val="002778C0"/>
    <w:rsid w:val="0028004E"/>
    <w:rsid w:val="00284F85"/>
    <w:rsid w:val="00285D6F"/>
    <w:rsid w:val="002873F1"/>
    <w:rsid w:val="00287776"/>
    <w:rsid w:val="00287FB6"/>
    <w:rsid w:val="00290540"/>
    <w:rsid w:val="00290915"/>
    <w:rsid w:val="00290D91"/>
    <w:rsid w:val="00292C57"/>
    <w:rsid w:val="00293B26"/>
    <w:rsid w:val="00295C19"/>
    <w:rsid w:val="0029717F"/>
    <w:rsid w:val="00297FB0"/>
    <w:rsid w:val="002A15EC"/>
    <w:rsid w:val="002A22E2"/>
    <w:rsid w:val="002A3543"/>
    <w:rsid w:val="002A5423"/>
    <w:rsid w:val="002A5FEB"/>
    <w:rsid w:val="002A6BE1"/>
    <w:rsid w:val="002A7109"/>
    <w:rsid w:val="002B3A96"/>
    <w:rsid w:val="002C3627"/>
    <w:rsid w:val="002C45FC"/>
    <w:rsid w:val="002C556E"/>
    <w:rsid w:val="002C64F7"/>
    <w:rsid w:val="002C7D93"/>
    <w:rsid w:val="002D0090"/>
    <w:rsid w:val="002D3DE5"/>
    <w:rsid w:val="002D5C14"/>
    <w:rsid w:val="002D6C9D"/>
    <w:rsid w:val="002E0A00"/>
    <w:rsid w:val="002E1770"/>
    <w:rsid w:val="002E17FE"/>
    <w:rsid w:val="002E3561"/>
    <w:rsid w:val="002E3728"/>
    <w:rsid w:val="002E4F99"/>
    <w:rsid w:val="002E66A3"/>
    <w:rsid w:val="002E704C"/>
    <w:rsid w:val="002F0E22"/>
    <w:rsid w:val="002F180B"/>
    <w:rsid w:val="002F41F2"/>
    <w:rsid w:val="002F4BF3"/>
    <w:rsid w:val="00301BF3"/>
    <w:rsid w:val="0030208D"/>
    <w:rsid w:val="003025E1"/>
    <w:rsid w:val="00304AD6"/>
    <w:rsid w:val="00307EE2"/>
    <w:rsid w:val="003209BA"/>
    <w:rsid w:val="00323418"/>
    <w:rsid w:val="00324B36"/>
    <w:rsid w:val="00326BD3"/>
    <w:rsid w:val="003301E7"/>
    <w:rsid w:val="00333AD9"/>
    <w:rsid w:val="0033417C"/>
    <w:rsid w:val="003357BF"/>
    <w:rsid w:val="00340275"/>
    <w:rsid w:val="003418CD"/>
    <w:rsid w:val="003428A9"/>
    <w:rsid w:val="00343DA0"/>
    <w:rsid w:val="00344FBB"/>
    <w:rsid w:val="003450F2"/>
    <w:rsid w:val="0035702E"/>
    <w:rsid w:val="00360AA3"/>
    <w:rsid w:val="00362247"/>
    <w:rsid w:val="0036290C"/>
    <w:rsid w:val="0036436B"/>
    <w:rsid w:val="00364FAD"/>
    <w:rsid w:val="00366DD9"/>
    <w:rsid w:val="0036738F"/>
    <w:rsid w:val="0036759C"/>
    <w:rsid w:val="00367AE5"/>
    <w:rsid w:val="00367D71"/>
    <w:rsid w:val="003709AA"/>
    <w:rsid w:val="0037202D"/>
    <w:rsid w:val="00372F59"/>
    <w:rsid w:val="003745E0"/>
    <w:rsid w:val="00380E84"/>
    <w:rsid w:val="0038150A"/>
    <w:rsid w:val="00381DF8"/>
    <w:rsid w:val="003853B7"/>
    <w:rsid w:val="00386CF0"/>
    <w:rsid w:val="00390138"/>
    <w:rsid w:val="00390CA8"/>
    <w:rsid w:val="003911D0"/>
    <w:rsid w:val="0039198D"/>
    <w:rsid w:val="00393379"/>
    <w:rsid w:val="003936BA"/>
    <w:rsid w:val="00395F98"/>
    <w:rsid w:val="0039720B"/>
    <w:rsid w:val="003974D3"/>
    <w:rsid w:val="003A35E7"/>
    <w:rsid w:val="003A55C4"/>
    <w:rsid w:val="003A74EF"/>
    <w:rsid w:val="003B31C6"/>
    <w:rsid w:val="003B6E75"/>
    <w:rsid w:val="003B7DA1"/>
    <w:rsid w:val="003C0094"/>
    <w:rsid w:val="003C05C0"/>
    <w:rsid w:val="003C1E3B"/>
    <w:rsid w:val="003C2117"/>
    <w:rsid w:val="003C2354"/>
    <w:rsid w:val="003C27C4"/>
    <w:rsid w:val="003C3612"/>
    <w:rsid w:val="003C3B62"/>
    <w:rsid w:val="003C5241"/>
    <w:rsid w:val="003C619C"/>
    <w:rsid w:val="003D0379"/>
    <w:rsid w:val="003D1D47"/>
    <w:rsid w:val="003D2574"/>
    <w:rsid w:val="003D4C59"/>
    <w:rsid w:val="003D70E3"/>
    <w:rsid w:val="003E19A9"/>
    <w:rsid w:val="003E4A69"/>
    <w:rsid w:val="003E74D0"/>
    <w:rsid w:val="003E75E2"/>
    <w:rsid w:val="003F2106"/>
    <w:rsid w:val="003F2397"/>
    <w:rsid w:val="003F333F"/>
    <w:rsid w:val="003F4136"/>
    <w:rsid w:val="003F4267"/>
    <w:rsid w:val="003F44B1"/>
    <w:rsid w:val="003F458C"/>
    <w:rsid w:val="003F4964"/>
    <w:rsid w:val="003F4EC5"/>
    <w:rsid w:val="003F50F9"/>
    <w:rsid w:val="003F7042"/>
    <w:rsid w:val="003F710E"/>
    <w:rsid w:val="00404032"/>
    <w:rsid w:val="0040736F"/>
    <w:rsid w:val="00407BA5"/>
    <w:rsid w:val="004101A3"/>
    <w:rsid w:val="00412C1F"/>
    <w:rsid w:val="00413512"/>
    <w:rsid w:val="004169B8"/>
    <w:rsid w:val="004205AA"/>
    <w:rsid w:val="00420868"/>
    <w:rsid w:val="00421CB2"/>
    <w:rsid w:val="004227AD"/>
    <w:rsid w:val="0042669C"/>
    <w:rsid w:val="004268B9"/>
    <w:rsid w:val="0042754C"/>
    <w:rsid w:val="00430F6F"/>
    <w:rsid w:val="00431551"/>
    <w:rsid w:val="00433283"/>
    <w:rsid w:val="004332E4"/>
    <w:rsid w:val="00433B96"/>
    <w:rsid w:val="00434790"/>
    <w:rsid w:val="00434D16"/>
    <w:rsid w:val="00441210"/>
    <w:rsid w:val="0044355A"/>
    <w:rsid w:val="004440F1"/>
    <w:rsid w:val="004455BC"/>
    <w:rsid w:val="004456DD"/>
    <w:rsid w:val="00446085"/>
    <w:rsid w:val="00446CDF"/>
    <w:rsid w:val="00446FCC"/>
    <w:rsid w:val="00451FB4"/>
    <w:rsid w:val="004521B7"/>
    <w:rsid w:val="00452C2E"/>
    <w:rsid w:val="00454B18"/>
    <w:rsid w:val="004560CC"/>
    <w:rsid w:val="0045613A"/>
    <w:rsid w:val="0045731F"/>
    <w:rsid w:val="00457CEF"/>
    <w:rsid w:val="00462AB5"/>
    <w:rsid w:val="00465EAF"/>
    <w:rsid w:val="00471421"/>
    <w:rsid w:val="0047252D"/>
    <w:rsid w:val="0047351F"/>
    <w:rsid w:val="004738C5"/>
    <w:rsid w:val="004768FC"/>
    <w:rsid w:val="00477871"/>
    <w:rsid w:val="00477A97"/>
    <w:rsid w:val="00480B15"/>
    <w:rsid w:val="00484780"/>
    <w:rsid w:val="0048526E"/>
    <w:rsid w:val="00487A8A"/>
    <w:rsid w:val="0049066A"/>
    <w:rsid w:val="00490996"/>
    <w:rsid w:val="00491046"/>
    <w:rsid w:val="0049449D"/>
    <w:rsid w:val="004945B4"/>
    <w:rsid w:val="0049617B"/>
    <w:rsid w:val="00497A27"/>
    <w:rsid w:val="004A2AC7"/>
    <w:rsid w:val="004A3EAE"/>
    <w:rsid w:val="004A631A"/>
    <w:rsid w:val="004A6D2F"/>
    <w:rsid w:val="004B2089"/>
    <w:rsid w:val="004B5708"/>
    <w:rsid w:val="004B6807"/>
    <w:rsid w:val="004B6F4D"/>
    <w:rsid w:val="004B7BD3"/>
    <w:rsid w:val="004C195A"/>
    <w:rsid w:val="004C2887"/>
    <w:rsid w:val="004C3624"/>
    <w:rsid w:val="004C6918"/>
    <w:rsid w:val="004C69F1"/>
    <w:rsid w:val="004C6F45"/>
    <w:rsid w:val="004D0FD0"/>
    <w:rsid w:val="004D1B2B"/>
    <w:rsid w:val="004D2626"/>
    <w:rsid w:val="004D3B4C"/>
    <w:rsid w:val="004D58C5"/>
    <w:rsid w:val="004D5D7A"/>
    <w:rsid w:val="004D6E26"/>
    <w:rsid w:val="004D73C5"/>
    <w:rsid w:val="004D77D3"/>
    <w:rsid w:val="004E02EA"/>
    <w:rsid w:val="004E070A"/>
    <w:rsid w:val="004E27A6"/>
    <w:rsid w:val="004E288C"/>
    <w:rsid w:val="004E2959"/>
    <w:rsid w:val="004F09E4"/>
    <w:rsid w:val="004F20EF"/>
    <w:rsid w:val="004F260A"/>
    <w:rsid w:val="004F7AF1"/>
    <w:rsid w:val="00502033"/>
    <w:rsid w:val="0050321C"/>
    <w:rsid w:val="00504986"/>
    <w:rsid w:val="00511D41"/>
    <w:rsid w:val="00512F4E"/>
    <w:rsid w:val="005139CE"/>
    <w:rsid w:val="00523C1C"/>
    <w:rsid w:val="00524E1F"/>
    <w:rsid w:val="00525C5B"/>
    <w:rsid w:val="00526949"/>
    <w:rsid w:val="0052783B"/>
    <w:rsid w:val="005300D5"/>
    <w:rsid w:val="00536537"/>
    <w:rsid w:val="005367B7"/>
    <w:rsid w:val="00536A53"/>
    <w:rsid w:val="005417BF"/>
    <w:rsid w:val="005422B3"/>
    <w:rsid w:val="0054712D"/>
    <w:rsid w:val="00547EF6"/>
    <w:rsid w:val="0055120B"/>
    <w:rsid w:val="005518E4"/>
    <w:rsid w:val="005525EC"/>
    <w:rsid w:val="00556458"/>
    <w:rsid w:val="005570B5"/>
    <w:rsid w:val="005571E3"/>
    <w:rsid w:val="00557303"/>
    <w:rsid w:val="005603CD"/>
    <w:rsid w:val="005611B8"/>
    <w:rsid w:val="005671FE"/>
    <w:rsid w:val="00567E18"/>
    <w:rsid w:val="00571969"/>
    <w:rsid w:val="00572110"/>
    <w:rsid w:val="00575F5F"/>
    <w:rsid w:val="00581805"/>
    <w:rsid w:val="005818C8"/>
    <w:rsid w:val="00585F76"/>
    <w:rsid w:val="0058744D"/>
    <w:rsid w:val="00594AE5"/>
    <w:rsid w:val="00597100"/>
    <w:rsid w:val="005A022D"/>
    <w:rsid w:val="005A059B"/>
    <w:rsid w:val="005A1535"/>
    <w:rsid w:val="005A34E4"/>
    <w:rsid w:val="005A3D65"/>
    <w:rsid w:val="005A7A7A"/>
    <w:rsid w:val="005B17F2"/>
    <w:rsid w:val="005B215D"/>
    <w:rsid w:val="005B264D"/>
    <w:rsid w:val="005B55EF"/>
    <w:rsid w:val="005B57F2"/>
    <w:rsid w:val="005B7FB0"/>
    <w:rsid w:val="005C0A03"/>
    <w:rsid w:val="005C1127"/>
    <w:rsid w:val="005C35A5"/>
    <w:rsid w:val="005C447B"/>
    <w:rsid w:val="005C577C"/>
    <w:rsid w:val="005D0621"/>
    <w:rsid w:val="005D09F7"/>
    <w:rsid w:val="005D1E27"/>
    <w:rsid w:val="005D2444"/>
    <w:rsid w:val="005D2A3E"/>
    <w:rsid w:val="005D4BE4"/>
    <w:rsid w:val="005D58A0"/>
    <w:rsid w:val="005D6268"/>
    <w:rsid w:val="005D76D6"/>
    <w:rsid w:val="005E022E"/>
    <w:rsid w:val="005E288E"/>
    <w:rsid w:val="005E5215"/>
    <w:rsid w:val="005E6A9E"/>
    <w:rsid w:val="005E7AF6"/>
    <w:rsid w:val="005E7F4B"/>
    <w:rsid w:val="005F3275"/>
    <w:rsid w:val="005F6C06"/>
    <w:rsid w:val="005F7E60"/>
    <w:rsid w:val="005F7F7E"/>
    <w:rsid w:val="00603608"/>
    <w:rsid w:val="00604162"/>
    <w:rsid w:val="00604A65"/>
    <w:rsid w:val="00604B4C"/>
    <w:rsid w:val="0060572C"/>
    <w:rsid w:val="00614693"/>
    <w:rsid w:val="00614AE0"/>
    <w:rsid w:val="00614D6B"/>
    <w:rsid w:val="006151ED"/>
    <w:rsid w:val="0062121C"/>
    <w:rsid w:val="0062244A"/>
    <w:rsid w:val="00623418"/>
    <w:rsid w:val="00623C2F"/>
    <w:rsid w:val="006248D8"/>
    <w:rsid w:val="00624C75"/>
    <w:rsid w:val="0062626A"/>
    <w:rsid w:val="00627684"/>
    <w:rsid w:val="00627D0F"/>
    <w:rsid w:val="00630B28"/>
    <w:rsid w:val="0063229F"/>
    <w:rsid w:val="00633578"/>
    <w:rsid w:val="00633EEC"/>
    <w:rsid w:val="00633F36"/>
    <w:rsid w:val="0063499F"/>
    <w:rsid w:val="006357FD"/>
    <w:rsid w:val="00637068"/>
    <w:rsid w:val="00637694"/>
    <w:rsid w:val="00640B28"/>
    <w:rsid w:val="0064625F"/>
    <w:rsid w:val="0064756A"/>
    <w:rsid w:val="00650642"/>
    <w:rsid w:val="00650811"/>
    <w:rsid w:val="00650BC9"/>
    <w:rsid w:val="00650C99"/>
    <w:rsid w:val="00656353"/>
    <w:rsid w:val="006600DC"/>
    <w:rsid w:val="006600EF"/>
    <w:rsid w:val="00660A77"/>
    <w:rsid w:val="00660B15"/>
    <w:rsid w:val="00661D3E"/>
    <w:rsid w:val="00665B05"/>
    <w:rsid w:val="0067298D"/>
    <w:rsid w:val="00673910"/>
    <w:rsid w:val="00675219"/>
    <w:rsid w:val="00676725"/>
    <w:rsid w:val="00684EE2"/>
    <w:rsid w:val="00690696"/>
    <w:rsid w:val="00692627"/>
    <w:rsid w:val="006927FE"/>
    <w:rsid w:val="006947AB"/>
    <w:rsid w:val="006947CC"/>
    <w:rsid w:val="00695DEE"/>
    <w:rsid w:val="0069653D"/>
    <w:rsid w:val="006969E7"/>
    <w:rsid w:val="00697F1B"/>
    <w:rsid w:val="00697F53"/>
    <w:rsid w:val="006A03DC"/>
    <w:rsid w:val="006A3643"/>
    <w:rsid w:val="006A7C4B"/>
    <w:rsid w:val="006B3B55"/>
    <w:rsid w:val="006B3EBB"/>
    <w:rsid w:val="006B6D32"/>
    <w:rsid w:val="006B6ED9"/>
    <w:rsid w:val="006B7532"/>
    <w:rsid w:val="006B79D4"/>
    <w:rsid w:val="006B7B01"/>
    <w:rsid w:val="006B7F04"/>
    <w:rsid w:val="006C2A29"/>
    <w:rsid w:val="006C3440"/>
    <w:rsid w:val="006C483B"/>
    <w:rsid w:val="006C64CF"/>
    <w:rsid w:val="006C6A27"/>
    <w:rsid w:val="006D0615"/>
    <w:rsid w:val="006D17B1"/>
    <w:rsid w:val="006D1FD7"/>
    <w:rsid w:val="006D4752"/>
    <w:rsid w:val="006D486C"/>
    <w:rsid w:val="006D4DF4"/>
    <w:rsid w:val="006D4FA4"/>
    <w:rsid w:val="006D708A"/>
    <w:rsid w:val="006E14C1"/>
    <w:rsid w:val="006E2CD5"/>
    <w:rsid w:val="006E4B8F"/>
    <w:rsid w:val="006E57B1"/>
    <w:rsid w:val="006E68D7"/>
    <w:rsid w:val="006E7937"/>
    <w:rsid w:val="006F0292"/>
    <w:rsid w:val="006F27FA"/>
    <w:rsid w:val="006F36C9"/>
    <w:rsid w:val="006F416B"/>
    <w:rsid w:val="006F4377"/>
    <w:rsid w:val="006F4D93"/>
    <w:rsid w:val="006F519B"/>
    <w:rsid w:val="006F6DC5"/>
    <w:rsid w:val="006F7366"/>
    <w:rsid w:val="006F7CC4"/>
    <w:rsid w:val="00702A18"/>
    <w:rsid w:val="00703A6A"/>
    <w:rsid w:val="00703F5D"/>
    <w:rsid w:val="00704453"/>
    <w:rsid w:val="007114CD"/>
    <w:rsid w:val="00712664"/>
    <w:rsid w:val="00713241"/>
    <w:rsid w:val="00713675"/>
    <w:rsid w:val="00715823"/>
    <w:rsid w:val="00717CF8"/>
    <w:rsid w:val="007201B8"/>
    <w:rsid w:val="00722C3E"/>
    <w:rsid w:val="007244F2"/>
    <w:rsid w:val="00727723"/>
    <w:rsid w:val="0073065E"/>
    <w:rsid w:val="007333C3"/>
    <w:rsid w:val="00737B93"/>
    <w:rsid w:val="0074109C"/>
    <w:rsid w:val="00741C99"/>
    <w:rsid w:val="0074211E"/>
    <w:rsid w:val="00745BF0"/>
    <w:rsid w:val="00746E7C"/>
    <w:rsid w:val="0075545F"/>
    <w:rsid w:val="00756358"/>
    <w:rsid w:val="0075664A"/>
    <w:rsid w:val="007615FE"/>
    <w:rsid w:val="00761E43"/>
    <w:rsid w:val="0076287E"/>
    <w:rsid w:val="00763052"/>
    <w:rsid w:val="00763928"/>
    <w:rsid w:val="00764912"/>
    <w:rsid w:val="0076655C"/>
    <w:rsid w:val="00773D35"/>
    <w:rsid w:val="00773F4F"/>
    <w:rsid w:val="007742DC"/>
    <w:rsid w:val="00775283"/>
    <w:rsid w:val="007760B6"/>
    <w:rsid w:val="00777397"/>
    <w:rsid w:val="0078327B"/>
    <w:rsid w:val="007839B9"/>
    <w:rsid w:val="00784171"/>
    <w:rsid w:val="00784884"/>
    <w:rsid w:val="00786691"/>
    <w:rsid w:val="007872A9"/>
    <w:rsid w:val="007907D7"/>
    <w:rsid w:val="00791437"/>
    <w:rsid w:val="0079321F"/>
    <w:rsid w:val="00796FEE"/>
    <w:rsid w:val="007A5D71"/>
    <w:rsid w:val="007A7638"/>
    <w:rsid w:val="007B0C2C"/>
    <w:rsid w:val="007B0F89"/>
    <w:rsid w:val="007B12FE"/>
    <w:rsid w:val="007B2188"/>
    <w:rsid w:val="007B278E"/>
    <w:rsid w:val="007B4395"/>
    <w:rsid w:val="007B5FF6"/>
    <w:rsid w:val="007C0580"/>
    <w:rsid w:val="007C282E"/>
    <w:rsid w:val="007C2E3C"/>
    <w:rsid w:val="007C4000"/>
    <w:rsid w:val="007C42D2"/>
    <w:rsid w:val="007C51F2"/>
    <w:rsid w:val="007C5C23"/>
    <w:rsid w:val="007D0E8B"/>
    <w:rsid w:val="007D154E"/>
    <w:rsid w:val="007D1829"/>
    <w:rsid w:val="007D2F26"/>
    <w:rsid w:val="007D3AC2"/>
    <w:rsid w:val="007D5A7F"/>
    <w:rsid w:val="007D5AC3"/>
    <w:rsid w:val="007E0F4C"/>
    <w:rsid w:val="007E28E1"/>
    <w:rsid w:val="007E2A26"/>
    <w:rsid w:val="007E64F0"/>
    <w:rsid w:val="007E7D96"/>
    <w:rsid w:val="007E7DC2"/>
    <w:rsid w:val="007F2348"/>
    <w:rsid w:val="007F4328"/>
    <w:rsid w:val="007F454B"/>
    <w:rsid w:val="007F74E6"/>
    <w:rsid w:val="00803F07"/>
    <w:rsid w:val="008050A5"/>
    <w:rsid w:val="0080749A"/>
    <w:rsid w:val="008074F3"/>
    <w:rsid w:val="008077DD"/>
    <w:rsid w:val="00814689"/>
    <w:rsid w:val="008159AF"/>
    <w:rsid w:val="008161BB"/>
    <w:rsid w:val="00817308"/>
    <w:rsid w:val="00817482"/>
    <w:rsid w:val="00821FB8"/>
    <w:rsid w:val="00822ACD"/>
    <w:rsid w:val="008336DC"/>
    <w:rsid w:val="0083382B"/>
    <w:rsid w:val="00836AE5"/>
    <w:rsid w:val="00840B2F"/>
    <w:rsid w:val="00843591"/>
    <w:rsid w:val="0084531E"/>
    <w:rsid w:val="008516F4"/>
    <w:rsid w:val="00854074"/>
    <w:rsid w:val="00855C66"/>
    <w:rsid w:val="008575E2"/>
    <w:rsid w:val="00860C96"/>
    <w:rsid w:val="00864061"/>
    <w:rsid w:val="008679B6"/>
    <w:rsid w:val="00871C32"/>
    <w:rsid w:val="00871EE4"/>
    <w:rsid w:val="00874FA2"/>
    <w:rsid w:val="00875823"/>
    <w:rsid w:val="00876831"/>
    <w:rsid w:val="00883215"/>
    <w:rsid w:val="00883BD0"/>
    <w:rsid w:val="0088458C"/>
    <w:rsid w:val="00884F2C"/>
    <w:rsid w:val="00885E16"/>
    <w:rsid w:val="00886F33"/>
    <w:rsid w:val="00891372"/>
    <w:rsid w:val="0089175C"/>
    <w:rsid w:val="0089212D"/>
    <w:rsid w:val="00896532"/>
    <w:rsid w:val="00896A9E"/>
    <w:rsid w:val="008A15F8"/>
    <w:rsid w:val="008A339B"/>
    <w:rsid w:val="008B1387"/>
    <w:rsid w:val="008B293F"/>
    <w:rsid w:val="008B305E"/>
    <w:rsid w:val="008B372B"/>
    <w:rsid w:val="008B4023"/>
    <w:rsid w:val="008B6745"/>
    <w:rsid w:val="008B7371"/>
    <w:rsid w:val="008B769E"/>
    <w:rsid w:val="008C2114"/>
    <w:rsid w:val="008C36DE"/>
    <w:rsid w:val="008C3B7A"/>
    <w:rsid w:val="008D0B20"/>
    <w:rsid w:val="008D131E"/>
    <w:rsid w:val="008D1A3C"/>
    <w:rsid w:val="008D3DDB"/>
    <w:rsid w:val="008D3FE6"/>
    <w:rsid w:val="008D5B32"/>
    <w:rsid w:val="008E28E4"/>
    <w:rsid w:val="008F094F"/>
    <w:rsid w:val="008F2876"/>
    <w:rsid w:val="008F370B"/>
    <w:rsid w:val="008F3DD3"/>
    <w:rsid w:val="008F573F"/>
    <w:rsid w:val="008F5939"/>
    <w:rsid w:val="008F6E30"/>
    <w:rsid w:val="008F7357"/>
    <w:rsid w:val="009033DA"/>
    <w:rsid w:val="009034EC"/>
    <w:rsid w:val="00903D0B"/>
    <w:rsid w:val="00905148"/>
    <w:rsid w:val="00907BDE"/>
    <w:rsid w:val="00910E25"/>
    <w:rsid w:val="00911B00"/>
    <w:rsid w:val="00912200"/>
    <w:rsid w:val="009150B3"/>
    <w:rsid w:val="00916A6C"/>
    <w:rsid w:val="009208BD"/>
    <w:rsid w:val="009210B1"/>
    <w:rsid w:val="009212B2"/>
    <w:rsid w:val="009227CE"/>
    <w:rsid w:val="00923390"/>
    <w:rsid w:val="00927355"/>
    <w:rsid w:val="0093067A"/>
    <w:rsid w:val="00930B99"/>
    <w:rsid w:val="0093437E"/>
    <w:rsid w:val="00934D30"/>
    <w:rsid w:val="00934E6B"/>
    <w:rsid w:val="009367F2"/>
    <w:rsid w:val="009370F6"/>
    <w:rsid w:val="009372F1"/>
    <w:rsid w:val="0094198E"/>
    <w:rsid w:val="00941C60"/>
    <w:rsid w:val="00942C78"/>
    <w:rsid w:val="009450D3"/>
    <w:rsid w:val="00946452"/>
    <w:rsid w:val="009464E4"/>
    <w:rsid w:val="00946A7E"/>
    <w:rsid w:val="0095091F"/>
    <w:rsid w:val="00951DEB"/>
    <w:rsid w:val="00953287"/>
    <w:rsid w:val="00953A87"/>
    <w:rsid w:val="009559D8"/>
    <w:rsid w:val="00956A10"/>
    <w:rsid w:val="00957365"/>
    <w:rsid w:val="00964010"/>
    <w:rsid w:val="00964187"/>
    <w:rsid w:val="00965C9C"/>
    <w:rsid w:val="00965E39"/>
    <w:rsid w:val="0096639D"/>
    <w:rsid w:val="00966D42"/>
    <w:rsid w:val="00966F41"/>
    <w:rsid w:val="00971689"/>
    <w:rsid w:val="00971754"/>
    <w:rsid w:val="00973A76"/>
    <w:rsid w:val="00973E90"/>
    <w:rsid w:val="00975B07"/>
    <w:rsid w:val="00980B4A"/>
    <w:rsid w:val="00980D6B"/>
    <w:rsid w:val="00990D52"/>
    <w:rsid w:val="00993F40"/>
    <w:rsid w:val="009961D5"/>
    <w:rsid w:val="0099724D"/>
    <w:rsid w:val="009A0407"/>
    <w:rsid w:val="009A1D16"/>
    <w:rsid w:val="009A2E0A"/>
    <w:rsid w:val="009A54E8"/>
    <w:rsid w:val="009A6F8A"/>
    <w:rsid w:val="009B0200"/>
    <w:rsid w:val="009B0344"/>
    <w:rsid w:val="009B11F3"/>
    <w:rsid w:val="009B381B"/>
    <w:rsid w:val="009B4BFF"/>
    <w:rsid w:val="009B589B"/>
    <w:rsid w:val="009B6167"/>
    <w:rsid w:val="009B6D80"/>
    <w:rsid w:val="009B7F93"/>
    <w:rsid w:val="009C0CE9"/>
    <w:rsid w:val="009C13D4"/>
    <w:rsid w:val="009C2EF5"/>
    <w:rsid w:val="009C409F"/>
    <w:rsid w:val="009D275F"/>
    <w:rsid w:val="009D4197"/>
    <w:rsid w:val="009D6A02"/>
    <w:rsid w:val="009D7094"/>
    <w:rsid w:val="009D7B8B"/>
    <w:rsid w:val="009E1E1D"/>
    <w:rsid w:val="009E3D0A"/>
    <w:rsid w:val="009E47A0"/>
    <w:rsid w:val="009E4858"/>
    <w:rsid w:val="009E51FC"/>
    <w:rsid w:val="009F1D28"/>
    <w:rsid w:val="009F48C5"/>
    <w:rsid w:val="009F6EEC"/>
    <w:rsid w:val="009F7618"/>
    <w:rsid w:val="00A0088F"/>
    <w:rsid w:val="00A01420"/>
    <w:rsid w:val="00A021CB"/>
    <w:rsid w:val="00A02C6C"/>
    <w:rsid w:val="00A04D23"/>
    <w:rsid w:val="00A06766"/>
    <w:rsid w:val="00A13765"/>
    <w:rsid w:val="00A13B37"/>
    <w:rsid w:val="00A14021"/>
    <w:rsid w:val="00A17BAD"/>
    <w:rsid w:val="00A21B12"/>
    <w:rsid w:val="00A23CB8"/>
    <w:rsid w:val="00A23F80"/>
    <w:rsid w:val="00A36624"/>
    <w:rsid w:val="00A40E02"/>
    <w:rsid w:val="00A40EFD"/>
    <w:rsid w:val="00A41AC7"/>
    <w:rsid w:val="00A42425"/>
    <w:rsid w:val="00A45DDB"/>
    <w:rsid w:val="00A46404"/>
    <w:rsid w:val="00A46CED"/>
    <w:rsid w:val="00A46E98"/>
    <w:rsid w:val="00A50727"/>
    <w:rsid w:val="00A51D06"/>
    <w:rsid w:val="00A51D23"/>
    <w:rsid w:val="00A52418"/>
    <w:rsid w:val="00A52A1D"/>
    <w:rsid w:val="00A52EDD"/>
    <w:rsid w:val="00A53FA6"/>
    <w:rsid w:val="00A6352B"/>
    <w:rsid w:val="00A65C9C"/>
    <w:rsid w:val="00A66877"/>
    <w:rsid w:val="00A701B5"/>
    <w:rsid w:val="00A714BB"/>
    <w:rsid w:val="00A77659"/>
    <w:rsid w:val="00A77CF6"/>
    <w:rsid w:val="00A81CC3"/>
    <w:rsid w:val="00A82AF9"/>
    <w:rsid w:val="00A831ED"/>
    <w:rsid w:val="00A84593"/>
    <w:rsid w:val="00A85B0E"/>
    <w:rsid w:val="00A86314"/>
    <w:rsid w:val="00A86331"/>
    <w:rsid w:val="00A91B9B"/>
    <w:rsid w:val="00A9244B"/>
    <w:rsid w:val="00A92D8F"/>
    <w:rsid w:val="00A92F6E"/>
    <w:rsid w:val="00A93767"/>
    <w:rsid w:val="00A94633"/>
    <w:rsid w:val="00A94C30"/>
    <w:rsid w:val="00AB1CBD"/>
    <w:rsid w:val="00AB1CFD"/>
    <w:rsid w:val="00AB2988"/>
    <w:rsid w:val="00AB389C"/>
    <w:rsid w:val="00AB3B49"/>
    <w:rsid w:val="00AB3E99"/>
    <w:rsid w:val="00AB41E6"/>
    <w:rsid w:val="00AB48D4"/>
    <w:rsid w:val="00AB77E5"/>
    <w:rsid w:val="00AB7999"/>
    <w:rsid w:val="00AC2F1C"/>
    <w:rsid w:val="00AC4174"/>
    <w:rsid w:val="00AC453A"/>
    <w:rsid w:val="00AC5333"/>
    <w:rsid w:val="00AC650C"/>
    <w:rsid w:val="00AC659B"/>
    <w:rsid w:val="00AD204C"/>
    <w:rsid w:val="00AD3292"/>
    <w:rsid w:val="00AD351A"/>
    <w:rsid w:val="00AD4EDC"/>
    <w:rsid w:val="00AD5C28"/>
    <w:rsid w:val="00AD6658"/>
    <w:rsid w:val="00AE1942"/>
    <w:rsid w:val="00AE2EA6"/>
    <w:rsid w:val="00AE399A"/>
    <w:rsid w:val="00AE4091"/>
    <w:rsid w:val="00AE5116"/>
    <w:rsid w:val="00AE7AF0"/>
    <w:rsid w:val="00AF0443"/>
    <w:rsid w:val="00AF0BDE"/>
    <w:rsid w:val="00AF11E9"/>
    <w:rsid w:val="00AF1367"/>
    <w:rsid w:val="00AF447C"/>
    <w:rsid w:val="00AF571E"/>
    <w:rsid w:val="00AF575F"/>
    <w:rsid w:val="00AF6699"/>
    <w:rsid w:val="00AF6923"/>
    <w:rsid w:val="00AF7780"/>
    <w:rsid w:val="00AF7E6D"/>
    <w:rsid w:val="00B00BEA"/>
    <w:rsid w:val="00B0125D"/>
    <w:rsid w:val="00B01E78"/>
    <w:rsid w:val="00B02C0B"/>
    <w:rsid w:val="00B07C1C"/>
    <w:rsid w:val="00B10652"/>
    <w:rsid w:val="00B12892"/>
    <w:rsid w:val="00B1310E"/>
    <w:rsid w:val="00B206FA"/>
    <w:rsid w:val="00B20DCF"/>
    <w:rsid w:val="00B26654"/>
    <w:rsid w:val="00B26878"/>
    <w:rsid w:val="00B277ED"/>
    <w:rsid w:val="00B27F59"/>
    <w:rsid w:val="00B32389"/>
    <w:rsid w:val="00B364BC"/>
    <w:rsid w:val="00B40045"/>
    <w:rsid w:val="00B40416"/>
    <w:rsid w:val="00B40646"/>
    <w:rsid w:val="00B44424"/>
    <w:rsid w:val="00B46B4D"/>
    <w:rsid w:val="00B500CA"/>
    <w:rsid w:val="00B515F2"/>
    <w:rsid w:val="00B520E3"/>
    <w:rsid w:val="00B53FB6"/>
    <w:rsid w:val="00B5564A"/>
    <w:rsid w:val="00B57C29"/>
    <w:rsid w:val="00B60AC4"/>
    <w:rsid w:val="00B60DCA"/>
    <w:rsid w:val="00B61C8A"/>
    <w:rsid w:val="00B62884"/>
    <w:rsid w:val="00B6503D"/>
    <w:rsid w:val="00B65256"/>
    <w:rsid w:val="00B6671E"/>
    <w:rsid w:val="00B732B4"/>
    <w:rsid w:val="00B73D1D"/>
    <w:rsid w:val="00B80341"/>
    <w:rsid w:val="00B8084E"/>
    <w:rsid w:val="00B80C36"/>
    <w:rsid w:val="00B83494"/>
    <w:rsid w:val="00B84D7D"/>
    <w:rsid w:val="00B86314"/>
    <w:rsid w:val="00B87F19"/>
    <w:rsid w:val="00B93134"/>
    <w:rsid w:val="00B93514"/>
    <w:rsid w:val="00B95A51"/>
    <w:rsid w:val="00BA0971"/>
    <w:rsid w:val="00BA1C2E"/>
    <w:rsid w:val="00BA4C80"/>
    <w:rsid w:val="00BA597C"/>
    <w:rsid w:val="00BB04C6"/>
    <w:rsid w:val="00BB090E"/>
    <w:rsid w:val="00BB0B31"/>
    <w:rsid w:val="00BB12F0"/>
    <w:rsid w:val="00BB2427"/>
    <w:rsid w:val="00BB481D"/>
    <w:rsid w:val="00BB483E"/>
    <w:rsid w:val="00BB7178"/>
    <w:rsid w:val="00BB796D"/>
    <w:rsid w:val="00BC200B"/>
    <w:rsid w:val="00BC4756"/>
    <w:rsid w:val="00BC69A4"/>
    <w:rsid w:val="00BC7572"/>
    <w:rsid w:val="00BD121C"/>
    <w:rsid w:val="00BD3A56"/>
    <w:rsid w:val="00BD3B6D"/>
    <w:rsid w:val="00BD3B8E"/>
    <w:rsid w:val="00BD41E4"/>
    <w:rsid w:val="00BD4A76"/>
    <w:rsid w:val="00BE0680"/>
    <w:rsid w:val="00BE2611"/>
    <w:rsid w:val="00BE305F"/>
    <w:rsid w:val="00BE4002"/>
    <w:rsid w:val="00BE5525"/>
    <w:rsid w:val="00BE5A97"/>
    <w:rsid w:val="00BE5B8E"/>
    <w:rsid w:val="00BE7BA3"/>
    <w:rsid w:val="00BF0DF5"/>
    <w:rsid w:val="00BF1D16"/>
    <w:rsid w:val="00BF25C3"/>
    <w:rsid w:val="00BF2AF4"/>
    <w:rsid w:val="00BF4935"/>
    <w:rsid w:val="00BF5682"/>
    <w:rsid w:val="00BF7B09"/>
    <w:rsid w:val="00C00652"/>
    <w:rsid w:val="00C016F6"/>
    <w:rsid w:val="00C02347"/>
    <w:rsid w:val="00C05923"/>
    <w:rsid w:val="00C11950"/>
    <w:rsid w:val="00C12317"/>
    <w:rsid w:val="00C1237A"/>
    <w:rsid w:val="00C13033"/>
    <w:rsid w:val="00C13896"/>
    <w:rsid w:val="00C13B7D"/>
    <w:rsid w:val="00C14410"/>
    <w:rsid w:val="00C1561B"/>
    <w:rsid w:val="00C15F4C"/>
    <w:rsid w:val="00C169D7"/>
    <w:rsid w:val="00C20A95"/>
    <w:rsid w:val="00C21D11"/>
    <w:rsid w:val="00C23F79"/>
    <w:rsid w:val="00C25AD8"/>
    <w:rsid w:val="00C2674F"/>
    <w:rsid w:val="00C2692F"/>
    <w:rsid w:val="00C30B63"/>
    <w:rsid w:val="00C3207C"/>
    <w:rsid w:val="00C32BA9"/>
    <w:rsid w:val="00C32BB4"/>
    <w:rsid w:val="00C400E1"/>
    <w:rsid w:val="00C40A7D"/>
    <w:rsid w:val="00C41187"/>
    <w:rsid w:val="00C42D14"/>
    <w:rsid w:val="00C433D5"/>
    <w:rsid w:val="00C45ECB"/>
    <w:rsid w:val="00C45FC7"/>
    <w:rsid w:val="00C46E95"/>
    <w:rsid w:val="00C47889"/>
    <w:rsid w:val="00C514DE"/>
    <w:rsid w:val="00C519D6"/>
    <w:rsid w:val="00C63C31"/>
    <w:rsid w:val="00C661F5"/>
    <w:rsid w:val="00C66A11"/>
    <w:rsid w:val="00C720C0"/>
    <w:rsid w:val="00C72360"/>
    <w:rsid w:val="00C72FE8"/>
    <w:rsid w:val="00C73206"/>
    <w:rsid w:val="00C733A4"/>
    <w:rsid w:val="00C74FB1"/>
    <w:rsid w:val="00C757A0"/>
    <w:rsid w:val="00C760DE"/>
    <w:rsid w:val="00C80646"/>
    <w:rsid w:val="00C80E03"/>
    <w:rsid w:val="00C822C4"/>
    <w:rsid w:val="00C82630"/>
    <w:rsid w:val="00C8301E"/>
    <w:rsid w:val="00C85B4E"/>
    <w:rsid w:val="00C8750C"/>
    <w:rsid w:val="00C90060"/>
    <w:rsid w:val="00C907F7"/>
    <w:rsid w:val="00C92CB1"/>
    <w:rsid w:val="00C946F9"/>
    <w:rsid w:val="00C94EE4"/>
    <w:rsid w:val="00CA0122"/>
    <w:rsid w:val="00CA2103"/>
    <w:rsid w:val="00CA2737"/>
    <w:rsid w:val="00CA28DE"/>
    <w:rsid w:val="00CA7C20"/>
    <w:rsid w:val="00CB22FB"/>
    <w:rsid w:val="00CB3198"/>
    <w:rsid w:val="00CB4592"/>
    <w:rsid w:val="00CB5E77"/>
    <w:rsid w:val="00CB6B99"/>
    <w:rsid w:val="00CC07C2"/>
    <w:rsid w:val="00CC118B"/>
    <w:rsid w:val="00CC2459"/>
    <w:rsid w:val="00CC2837"/>
    <w:rsid w:val="00CC3ED0"/>
    <w:rsid w:val="00CC59C6"/>
    <w:rsid w:val="00CD13DE"/>
    <w:rsid w:val="00CD227A"/>
    <w:rsid w:val="00CD2586"/>
    <w:rsid w:val="00CD6231"/>
    <w:rsid w:val="00CE0268"/>
    <w:rsid w:val="00CE2295"/>
    <w:rsid w:val="00CE22BA"/>
    <w:rsid w:val="00CE35E3"/>
    <w:rsid w:val="00CE38D2"/>
    <w:rsid w:val="00CE4C87"/>
    <w:rsid w:val="00CE544A"/>
    <w:rsid w:val="00CE6D84"/>
    <w:rsid w:val="00CF1192"/>
    <w:rsid w:val="00CF32A7"/>
    <w:rsid w:val="00CF4E15"/>
    <w:rsid w:val="00CF57EB"/>
    <w:rsid w:val="00CF62B2"/>
    <w:rsid w:val="00D02009"/>
    <w:rsid w:val="00D0399D"/>
    <w:rsid w:val="00D03E7C"/>
    <w:rsid w:val="00D11622"/>
    <w:rsid w:val="00D11E1C"/>
    <w:rsid w:val="00D12262"/>
    <w:rsid w:val="00D132E5"/>
    <w:rsid w:val="00D160B0"/>
    <w:rsid w:val="00D163D7"/>
    <w:rsid w:val="00D16B20"/>
    <w:rsid w:val="00D17F94"/>
    <w:rsid w:val="00D209CA"/>
    <w:rsid w:val="00D2161E"/>
    <w:rsid w:val="00D223FC"/>
    <w:rsid w:val="00D22960"/>
    <w:rsid w:val="00D241FF"/>
    <w:rsid w:val="00D24DD4"/>
    <w:rsid w:val="00D25A03"/>
    <w:rsid w:val="00D26D1E"/>
    <w:rsid w:val="00D35756"/>
    <w:rsid w:val="00D357A0"/>
    <w:rsid w:val="00D3622B"/>
    <w:rsid w:val="00D4040D"/>
    <w:rsid w:val="00D413B8"/>
    <w:rsid w:val="00D44947"/>
    <w:rsid w:val="00D45E2B"/>
    <w:rsid w:val="00D474CF"/>
    <w:rsid w:val="00D51A4D"/>
    <w:rsid w:val="00D54C87"/>
    <w:rsid w:val="00D5547E"/>
    <w:rsid w:val="00D563F6"/>
    <w:rsid w:val="00D56E95"/>
    <w:rsid w:val="00D57076"/>
    <w:rsid w:val="00D60200"/>
    <w:rsid w:val="00D67885"/>
    <w:rsid w:val="00D7046B"/>
    <w:rsid w:val="00D71DDE"/>
    <w:rsid w:val="00D72C8D"/>
    <w:rsid w:val="00D7667D"/>
    <w:rsid w:val="00D76AA5"/>
    <w:rsid w:val="00D7709B"/>
    <w:rsid w:val="00D77751"/>
    <w:rsid w:val="00D819B3"/>
    <w:rsid w:val="00D82027"/>
    <w:rsid w:val="00D8272F"/>
    <w:rsid w:val="00D869A1"/>
    <w:rsid w:val="00D905C7"/>
    <w:rsid w:val="00D9110B"/>
    <w:rsid w:val="00D96B11"/>
    <w:rsid w:val="00D977D6"/>
    <w:rsid w:val="00DA413F"/>
    <w:rsid w:val="00DA4584"/>
    <w:rsid w:val="00DA614B"/>
    <w:rsid w:val="00DA74DA"/>
    <w:rsid w:val="00DB0200"/>
    <w:rsid w:val="00DB13DB"/>
    <w:rsid w:val="00DB40A3"/>
    <w:rsid w:val="00DB5E73"/>
    <w:rsid w:val="00DB71EB"/>
    <w:rsid w:val="00DC182C"/>
    <w:rsid w:val="00DC1F43"/>
    <w:rsid w:val="00DC23A9"/>
    <w:rsid w:val="00DC3060"/>
    <w:rsid w:val="00DD03F8"/>
    <w:rsid w:val="00DD2353"/>
    <w:rsid w:val="00DD2B83"/>
    <w:rsid w:val="00DD396E"/>
    <w:rsid w:val="00DD512B"/>
    <w:rsid w:val="00DD54A8"/>
    <w:rsid w:val="00DD6652"/>
    <w:rsid w:val="00DD722C"/>
    <w:rsid w:val="00DE041F"/>
    <w:rsid w:val="00DE08E5"/>
    <w:rsid w:val="00DE0FB2"/>
    <w:rsid w:val="00DE1458"/>
    <w:rsid w:val="00DE2F66"/>
    <w:rsid w:val="00DE2F8F"/>
    <w:rsid w:val="00DE3268"/>
    <w:rsid w:val="00DE5019"/>
    <w:rsid w:val="00DE5C00"/>
    <w:rsid w:val="00DE77AE"/>
    <w:rsid w:val="00DF093E"/>
    <w:rsid w:val="00DF098E"/>
    <w:rsid w:val="00DF2F9B"/>
    <w:rsid w:val="00DF4738"/>
    <w:rsid w:val="00DF7BEF"/>
    <w:rsid w:val="00E001B2"/>
    <w:rsid w:val="00E00881"/>
    <w:rsid w:val="00E01F42"/>
    <w:rsid w:val="00E107CA"/>
    <w:rsid w:val="00E141C6"/>
    <w:rsid w:val="00E1547F"/>
    <w:rsid w:val="00E155EB"/>
    <w:rsid w:val="00E157FF"/>
    <w:rsid w:val="00E16948"/>
    <w:rsid w:val="00E206D6"/>
    <w:rsid w:val="00E2220D"/>
    <w:rsid w:val="00E26741"/>
    <w:rsid w:val="00E270C4"/>
    <w:rsid w:val="00E274DB"/>
    <w:rsid w:val="00E3160F"/>
    <w:rsid w:val="00E3210A"/>
    <w:rsid w:val="00E3307B"/>
    <w:rsid w:val="00E3366E"/>
    <w:rsid w:val="00E3407B"/>
    <w:rsid w:val="00E35CFA"/>
    <w:rsid w:val="00E35E8D"/>
    <w:rsid w:val="00E37251"/>
    <w:rsid w:val="00E40753"/>
    <w:rsid w:val="00E41F54"/>
    <w:rsid w:val="00E42EBA"/>
    <w:rsid w:val="00E44A0A"/>
    <w:rsid w:val="00E45179"/>
    <w:rsid w:val="00E52086"/>
    <w:rsid w:val="00E543A6"/>
    <w:rsid w:val="00E54D43"/>
    <w:rsid w:val="00E57026"/>
    <w:rsid w:val="00E6010D"/>
    <w:rsid w:val="00E60479"/>
    <w:rsid w:val="00E605C7"/>
    <w:rsid w:val="00E61D73"/>
    <w:rsid w:val="00E64E47"/>
    <w:rsid w:val="00E6798C"/>
    <w:rsid w:val="00E73355"/>
    <w:rsid w:val="00E73684"/>
    <w:rsid w:val="00E80686"/>
    <w:rsid w:val="00E818D6"/>
    <w:rsid w:val="00E835AB"/>
    <w:rsid w:val="00E83E04"/>
    <w:rsid w:val="00E83E58"/>
    <w:rsid w:val="00E847A6"/>
    <w:rsid w:val="00E8497C"/>
    <w:rsid w:val="00E854A0"/>
    <w:rsid w:val="00E86916"/>
    <w:rsid w:val="00E87F7A"/>
    <w:rsid w:val="00E93733"/>
    <w:rsid w:val="00E93B26"/>
    <w:rsid w:val="00E96BD7"/>
    <w:rsid w:val="00E96D58"/>
    <w:rsid w:val="00EA0DB1"/>
    <w:rsid w:val="00EA0EE9"/>
    <w:rsid w:val="00EA3130"/>
    <w:rsid w:val="00EA3797"/>
    <w:rsid w:val="00EA41DD"/>
    <w:rsid w:val="00EA7FF7"/>
    <w:rsid w:val="00EB068A"/>
    <w:rsid w:val="00EB1DA7"/>
    <w:rsid w:val="00EB338F"/>
    <w:rsid w:val="00EB3453"/>
    <w:rsid w:val="00EB34DB"/>
    <w:rsid w:val="00EB54FB"/>
    <w:rsid w:val="00EB59E9"/>
    <w:rsid w:val="00EB5BD4"/>
    <w:rsid w:val="00EB66F1"/>
    <w:rsid w:val="00EC3957"/>
    <w:rsid w:val="00EC4A78"/>
    <w:rsid w:val="00EC7FEC"/>
    <w:rsid w:val="00ED0A5F"/>
    <w:rsid w:val="00ED107E"/>
    <w:rsid w:val="00ED1345"/>
    <w:rsid w:val="00ED1971"/>
    <w:rsid w:val="00ED4F53"/>
    <w:rsid w:val="00ED52CA"/>
    <w:rsid w:val="00ED5860"/>
    <w:rsid w:val="00ED63D5"/>
    <w:rsid w:val="00EE1828"/>
    <w:rsid w:val="00EE1881"/>
    <w:rsid w:val="00EE1B3E"/>
    <w:rsid w:val="00EE1B74"/>
    <w:rsid w:val="00EE35C9"/>
    <w:rsid w:val="00EE39AE"/>
    <w:rsid w:val="00EF2C78"/>
    <w:rsid w:val="00EF4198"/>
    <w:rsid w:val="00EF7982"/>
    <w:rsid w:val="00F0438B"/>
    <w:rsid w:val="00F0529A"/>
    <w:rsid w:val="00F05ECA"/>
    <w:rsid w:val="00F07707"/>
    <w:rsid w:val="00F10D06"/>
    <w:rsid w:val="00F12D52"/>
    <w:rsid w:val="00F13BA9"/>
    <w:rsid w:val="00F1491F"/>
    <w:rsid w:val="00F169FA"/>
    <w:rsid w:val="00F237B7"/>
    <w:rsid w:val="00F24043"/>
    <w:rsid w:val="00F241B0"/>
    <w:rsid w:val="00F24538"/>
    <w:rsid w:val="00F24816"/>
    <w:rsid w:val="00F268C2"/>
    <w:rsid w:val="00F26F53"/>
    <w:rsid w:val="00F30D07"/>
    <w:rsid w:val="00F35574"/>
    <w:rsid w:val="00F3566E"/>
    <w:rsid w:val="00F36259"/>
    <w:rsid w:val="00F3666F"/>
    <w:rsid w:val="00F375FB"/>
    <w:rsid w:val="00F41AC1"/>
    <w:rsid w:val="00F431BC"/>
    <w:rsid w:val="00F4367A"/>
    <w:rsid w:val="00F445B1"/>
    <w:rsid w:val="00F44B49"/>
    <w:rsid w:val="00F45CD4"/>
    <w:rsid w:val="00F469EE"/>
    <w:rsid w:val="00F47EB1"/>
    <w:rsid w:val="00F50468"/>
    <w:rsid w:val="00F50617"/>
    <w:rsid w:val="00F50CCD"/>
    <w:rsid w:val="00F50D59"/>
    <w:rsid w:val="00F52E15"/>
    <w:rsid w:val="00F54052"/>
    <w:rsid w:val="00F556AC"/>
    <w:rsid w:val="00F563F3"/>
    <w:rsid w:val="00F571F9"/>
    <w:rsid w:val="00F57900"/>
    <w:rsid w:val="00F60BBF"/>
    <w:rsid w:val="00F66DCA"/>
    <w:rsid w:val="00F67E17"/>
    <w:rsid w:val="00F70883"/>
    <w:rsid w:val="00F71ABE"/>
    <w:rsid w:val="00F71E55"/>
    <w:rsid w:val="00F74877"/>
    <w:rsid w:val="00F74F53"/>
    <w:rsid w:val="00F75549"/>
    <w:rsid w:val="00F7606D"/>
    <w:rsid w:val="00F77F98"/>
    <w:rsid w:val="00F81670"/>
    <w:rsid w:val="00F82024"/>
    <w:rsid w:val="00F82D52"/>
    <w:rsid w:val="00F93CA3"/>
    <w:rsid w:val="00F93E8D"/>
    <w:rsid w:val="00F95BC9"/>
    <w:rsid w:val="00F96A87"/>
    <w:rsid w:val="00F97C01"/>
    <w:rsid w:val="00F97D4B"/>
    <w:rsid w:val="00FA0868"/>
    <w:rsid w:val="00FA0C2D"/>
    <w:rsid w:val="00FA171C"/>
    <w:rsid w:val="00FA33B1"/>
    <w:rsid w:val="00FA385D"/>
    <w:rsid w:val="00FA4A8D"/>
    <w:rsid w:val="00FA5744"/>
    <w:rsid w:val="00FA578E"/>
    <w:rsid w:val="00FA624C"/>
    <w:rsid w:val="00FB072C"/>
    <w:rsid w:val="00FB1EEB"/>
    <w:rsid w:val="00FB282D"/>
    <w:rsid w:val="00FB2971"/>
    <w:rsid w:val="00FB4868"/>
    <w:rsid w:val="00FB70AC"/>
    <w:rsid w:val="00FB74B9"/>
    <w:rsid w:val="00FC1A3D"/>
    <w:rsid w:val="00FC262C"/>
    <w:rsid w:val="00FC3B1D"/>
    <w:rsid w:val="00FC5319"/>
    <w:rsid w:val="00FC6745"/>
    <w:rsid w:val="00FD0FAC"/>
    <w:rsid w:val="00FD1DFA"/>
    <w:rsid w:val="00FD262F"/>
    <w:rsid w:val="00FD4134"/>
    <w:rsid w:val="00FD4966"/>
    <w:rsid w:val="00FD5342"/>
    <w:rsid w:val="00FD5A79"/>
    <w:rsid w:val="00FE1E6D"/>
    <w:rsid w:val="00FE35F3"/>
    <w:rsid w:val="00FE3A39"/>
    <w:rsid w:val="00FE5735"/>
    <w:rsid w:val="00FE57DC"/>
    <w:rsid w:val="00FE5BBF"/>
    <w:rsid w:val="00FE7460"/>
    <w:rsid w:val="00FF0214"/>
    <w:rsid w:val="00FF1DFE"/>
    <w:rsid w:val="00FF7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54461A4-AC33-419F-A5D1-419DF780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1742">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6548607">
      <w:bodyDiv w:val="1"/>
      <w:marLeft w:val="0"/>
      <w:marRight w:val="0"/>
      <w:marTop w:val="0"/>
      <w:marBottom w:val="0"/>
      <w:divBdr>
        <w:top w:val="none" w:sz="0" w:space="0" w:color="auto"/>
        <w:left w:val="none" w:sz="0" w:space="0" w:color="auto"/>
        <w:bottom w:val="none" w:sz="0" w:space="0" w:color="auto"/>
        <w:right w:val="none" w:sz="0" w:space="0" w:color="auto"/>
      </w:divBdr>
    </w:div>
    <w:div w:id="303044181">
      <w:bodyDiv w:val="1"/>
      <w:marLeft w:val="0"/>
      <w:marRight w:val="0"/>
      <w:marTop w:val="0"/>
      <w:marBottom w:val="0"/>
      <w:divBdr>
        <w:top w:val="none" w:sz="0" w:space="0" w:color="auto"/>
        <w:left w:val="none" w:sz="0" w:space="0" w:color="auto"/>
        <w:bottom w:val="none" w:sz="0" w:space="0" w:color="auto"/>
        <w:right w:val="none" w:sz="0" w:space="0" w:color="auto"/>
      </w:divBdr>
    </w:div>
    <w:div w:id="344283736">
      <w:bodyDiv w:val="1"/>
      <w:marLeft w:val="0"/>
      <w:marRight w:val="0"/>
      <w:marTop w:val="0"/>
      <w:marBottom w:val="0"/>
      <w:divBdr>
        <w:top w:val="none" w:sz="0" w:space="0" w:color="auto"/>
        <w:left w:val="none" w:sz="0" w:space="0" w:color="auto"/>
        <w:bottom w:val="none" w:sz="0" w:space="0" w:color="auto"/>
        <w:right w:val="none" w:sz="0" w:space="0" w:color="auto"/>
      </w:divBdr>
    </w:div>
    <w:div w:id="363673577">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42385168">
      <w:bodyDiv w:val="1"/>
      <w:marLeft w:val="0"/>
      <w:marRight w:val="0"/>
      <w:marTop w:val="0"/>
      <w:marBottom w:val="0"/>
      <w:divBdr>
        <w:top w:val="none" w:sz="0" w:space="0" w:color="auto"/>
        <w:left w:val="none" w:sz="0" w:space="0" w:color="auto"/>
        <w:bottom w:val="none" w:sz="0" w:space="0" w:color="auto"/>
        <w:right w:val="none" w:sz="0" w:space="0" w:color="auto"/>
      </w:divBdr>
    </w:div>
    <w:div w:id="466897240">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0668300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99569508">
      <w:bodyDiv w:val="1"/>
      <w:marLeft w:val="0"/>
      <w:marRight w:val="0"/>
      <w:marTop w:val="0"/>
      <w:marBottom w:val="0"/>
      <w:divBdr>
        <w:top w:val="none" w:sz="0" w:space="0" w:color="auto"/>
        <w:left w:val="none" w:sz="0" w:space="0" w:color="auto"/>
        <w:bottom w:val="none" w:sz="0" w:space="0" w:color="auto"/>
        <w:right w:val="none" w:sz="0" w:space="0" w:color="auto"/>
      </w:divBdr>
    </w:div>
    <w:div w:id="853111704">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9589206">
      <w:bodyDiv w:val="1"/>
      <w:marLeft w:val="0"/>
      <w:marRight w:val="0"/>
      <w:marTop w:val="0"/>
      <w:marBottom w:val="0"/>
      <w:divBdr>
        <w:top w:val="none" w:sz="0" w:space="0" w:color="auto"/>
        <w:left w:val="none" w:sz="0" w:space="0" w:color="auto"/>
        <w:bottom w:val="none" w:sz="0" w:space="0" w:color="auto"/>
        <w:right w:val="none" w:sz="0" w:space="0" w:color="auto"/>
      </w:divBdr>
    </w:div>
    <w:div w:id="120601745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71569778">
      <w:bodyDiv w:val="1"/>
      <w:marLeft w:val="0"/>
      <w:marRight w:val="0"/>
      <w:marTop w:val="0"/>
      <w:marBottom w:val="0"/>
      <w:divBdr>
        <w:top w:val="none" w:sz="0" w:space="0" w:color="auto"/>
        <w:left w:val="none" w:sz="0" w:space="0" w:color="auto"/>
        <w:bottom w:val="none" w:sz="0" w:space="0" w:color="auto"/>
        <w:right w:val="none" w:sz="0" w:space="0" w:color="auto"/>
      </w:divBdr>
    </w:div>
    <w:div w:id="1375959645">
      <w:bodyDiv w:val="1"/>
      <w:marLeft w:val="0"/>
      <w:marRight w:val="0"/>
      <w:marTop w:val="0"/>
      <w:marBottom w:val="0"/>
      <w:divBdr>
        <w:top w:val="none" w:sz="0" w:space="0" w:color="auto"/>
        <w:left w:val="none" w:sz="0" w:space="0" w:color="auto"/>
        <w:bottom w:val="none" w:sz="0" w:space="0" w:color="auto"/>
        <w:right w:val="none" w:sz="0" w:space="0" w:color="auto"/>
      </w:divBdr>
    </w:div>
    <w:div w:id="1407876481">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91618516">
      <w:bodyDiv w:val="1"/>
      <w:marLeft w:val="0"/>
      <w:marRight w:val="0"/>
      <w:marTop w:val="0"/>
      <w:marBottom w:val="0"/>
      <w:divBdr>
        <w:top w:val="none" w:sz="0" w:space="0" w:color="auto"/>
        <w:left w:val="none" w:sz="0" w:space="0" w:color="auto"/>
        <w:bottom w:val="none" w:sz="0" w:space="0" w:color="auto"/>
        <w:right w:val="none" w:sz="0" w:space="0" w:color="auto"/>
      </w:divBdr>
    </w:div>
    <w:div w:id="1866668754">
      <w:bodyDiv w:val="1"/>
      <w:marLeft w:val="0"/>
      <w:marRight w:val="0"/>
      <w:marTop w:val="0"/>
      <w:marBottom w:val="0"/>
      <w:divBdr>
        <w:top w:val="none" w:sz="0" w:space="0" w:color="auto"/>
        <w:left w:val="none" w:sz="0" w:space="0" w:color="auto"/>
        <w:bottom w:val="none" w:sz="0" w:space="0" w:color="auto"/>
        <w:right w:val="none" w:sz="0" w:space="0" w:color="auto"/>
      </w:divBdr>
    </w:div>
    <w:div w:id="1882592893">
      <w:bodyDiv w:val="1"/>
      <w:marLeft w:val="0"/>
      <w:marRight w:val="0"/>
      <w:marTop w:val="0"/>
      <w:marBottom w:val="0"/>
      <w:divBdr>
        <w:top w:val="none" w:sz="0" w:space="0" w:color="auto"/>
        <w:left w:val="none" w:sz="0" w:space="0" w:color="auto"/>
        <w:bottom w:val="none" w:sz="0" w:space="0" w:color="auto"/>
        <w:right w:val="none" w:sz="0" w:space="0" w:color="auto"/>
      </w:divBdr>
    </w:div>
    <w:div w:id="1999963011">
      <w:bodyDiv w:val="1"/>
      <w:marLeft w:val="0"/>
      <w:marRight w:val="0"/>
      <w:marTop w:val="0"/>
      <w:marBottom w:val="0"/>
      <w:divBdr>
        <w:top w:val="none" w:sz="0" w:space="0" w:color="auto"/>
        <w:left w:val="none" w:sz="0" w:space="0" w:color="auto"/>
        <w:bottom w:val="none" w:sz="0" w:space="0" w:color="auto"/>
        <w:right w:val="none" w:sz="0" w:space="0" w:color="auto"/>
      </w:divBdr>
    </w:div>
    <w:div w:id="21163625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jleo@oxford.gov.uk" TargetMode="Externa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B1A8A-D084-41C6-8CF8-7B3E76229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51E76863</Template>
  <TotalTime>177</TotalTime>
  <Pages>5</Pages>
  <Words>1643</Words>
  <Characters>8445</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MITCHELL John</cp:lastModifiedBy>
  <cp:revision>8</cp:revision>
  <cp:lastPrinted>2019-05-17T10:23:00Z</cp:lastPrinted>
  <dcterms:created xsi:type="dcterms:W3CDTF">2021-08-16T10:39:00Z</dcterms:created>
  <dcterms:modified xsi:type="dcterms:W3CDTF">2021-09-22T11:19:00Z</dcterms:modified>
</cp:coreProperties>
</file>